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:       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项目编号：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时间：</w:t>
      </w:r>
    </w:p>
    <w:tbl>
      <w:tblPr>
        <w:tblStyle w:val="2"/>
        <w:tblW w:w="9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对项目交货期限的建议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原因，该项目交货期限建议变更为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2"/>
        <w:tblW w:w="8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82"/>
        <w:gridCol w:w="2017"/>
        <w:gridCol w:w="1843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61FE"/>
    <w:rsid w:val="003615CC"/>
    <w:rsid w:val="00C761FE"/>
    <w:rsid w:val="00D07C6D"/>
    <w:rsid w:val="00DF2A2B"/>
    <w:rsid w:val="00E81DB1"/>
    <w:rsid w:val="086C3ACE"/>
    <w:rsid w:val="0EBC443D"/>
    <w:rsid w:val="44F66640"/>
    <w:rsid w:val="58A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102</Words>
  <Characters>583</Characters>
  <Lines>4</Lines>
  <Paragraphs>1</Paragraphs>
  <TotalTime>4</TotalTime>
  <ScaleCrop>false</ScaleCrop>
  <LinksUpToDate>false</LinksUpToDate>
  <CharactersWithSpaces>684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2022-08-03T09:34:00Z</dcterms:created>
  <dc:creator>temp</dc:creator>
  <cp:lastModifiedBy>Administrator</cp:lastModifiedBy>
  <cp:lastPrinted>2022-11-17T08:51:00Z</cp:lastPrinted>
  <dcterms:modified xsi:type="dcterms:W3CDTF">2024-01-18T08:26:57Z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