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F06" w:rsidRDefault="0058447A">
      <w:pPr>
        <w:spacing w:line="579" w:lineRule="exact"/>
        <w:jc w:val="left"/>
        <w:rPr>
          <w:rFonts w:ascii="方正小标宋简体" w:eastAsia="方正小标宋简体" w:cs="方正小标宋简体"/>
          <w:sz w:val="32"/>
          <w:szCs w:val="32"/>
        </w:rPr>
      </w:pPr>
      <w:r>
        <w:rPr>
          <w:rFonts w:ascii="方正小标宋简体" w:eastAsia="方正小标宋简体" w:cs="方正小标宋简体" w:hint="eastAsia"/>
          <w:sz w:val="32"/>
          <w:szCs w:val="32"/>
        </w:rPr>
        <w:t>附件</w:t>
      </w:r>
      <w:r>
        <w:rPr>
          <w:rFonts w:ascii="方正小标宋简体" w:eastAsia="方正小标宋简体" w:cs="方正小标宋简体" w:hint="eastAsia"/>
          <w:sz w:val="32"/>
          <w:szCs w:val="32"/>
        </w:rPr>
        <w:t>1</w:t>
      </w:r>
      <w:r>
        <w:rPr>
          <w:rFonts w:ascii="方正小标宋简体" w:eastAsia="方正小标宋简体" w:cs="方正小标宋简体" w:hint="eastAsia"/>
          <w:sz w:val="32"/>
          <w:szCs w:val="32"/>
        </w:rPr>
        <w:t>：</w:t>
      </w:r>
    </w:p>
    <w:p w:rsidR="00682F06" w:rsidRDefault="0058447A">
      <w:pPr>
        <w:spacing w:line="579" w:lineRule="exact"/>
        <w:ind w:firstLineChars="600" w:firstLine="2640"/>
        <w:jc w:val="left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采购需求明细表</w:t>
      </w:r>
    </w:p>
    <w:p w:rsidR="00682F06" w:rsidRPr="00AF661B" w:rsidRDefault="0058447A" w:rsidP="00AF661B">
      <w:pPr>
        <w:spacing w:line="579" w:lineRule="exact"/>
        <w:rPr>
          <w:rFonts w:ascii="仿宋_GB2312" w:eastAsia="仿宋_GB2312" w:hAnsi="黑体" w:cs="方正小标宋简体"/>
          <w:sz w:val="24"/>
          <w:szCs w:val="24"/>
        </w:rPr>
      </w:pPr>
      <w:r>
        <w:rPr>
          <w:rFonts w:ascii="仿宋_GB2312" w:eastAsia="仿宋_GB2312" w:hAnsi="黑体" w:cs="方正小标宋简体" w:hint="eastAsia"/>
          <w:sz w:val="24"/>
          <w:szCs w:val="24"/>
        </w:rPr>
        <w:t xml:space="preserve">                        </w:t>
      </w:r>
      <w:r w:rsidR="00AF661B">
        <w:rPr>
          <w:rFonts w:ascii="仿宋_GB2312" w:eastAsia="仿宋_GB2312" w:hAnsi="黑体" w:cs="方正小标宋简体" w:hint="eastAsia"/>
          <w:sz w:val="24"/>
          <w:szCs w:val="24"/>
        </w:rPr>
        <w:t xml:space="preserve">  </w:t>
      </w:r>
    </w:p>
    <w:tbl>
      <w:tblPr>
        <w:tblW w:w="9298" w:type="dxa"/>
        <w:jc w:val="center"/>
        <w:tblInd w:w="-468" w:type="dxa"/>
        <w:tblLayout w:type="fixed"/>
        <w:tblLook w:val="04A0" w:firstRow="1" w:lastRow="0" w:firstColumn="1" w:lastColumn="0" w:noHBand="0" w:noVBand="1"/>
      </w:tblPr>
      <w:tblGrid>
        <w:gridCol w:w="760"/>
        <w:gridCol w:w="1025"/>
        <w:gridCol w:w="788"/>
        <w:gridCol w:w="5137"/>
        <w:gridCol w:w="841"/>
        <w:gridCol w:w="747"/>
      </w:tblGrid>
      <w:tr w:rsidR="00D22699" w:rsidTr="00D22699">
        <w:trPr>
          <w:trHeight w:val="630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名称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品牌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主要技术参数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单位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:rsidR="00D22699" w:rsidTr="00D22699">
        <w:trPr>
          <w:trHeight w:val="4050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音频功率放大器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spacing w:line="20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国内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spacing w:line="20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t>输出功率：立体声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8Ω：400W×2，4Ω：600W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总谐波失真 ：60Hz/7Hz 4:1 :&lt;0.05%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互调失真：1kHz:&lt;0.03%，信噪比：≥110dB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转换速度：30V/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㎲，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t>阻尼系数：≥400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频率响应：20-20KHz/+0/-2dB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输入灵敏度：0.775V/1.0V/1.5V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串音：≤-70db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接地控制：开关控制地脚接地和悬浮控制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冷却方式：温控变速风扇穿过散热片前至后通风散热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保护电路：5秒</w:t>
            </w:r>
            <w:proofErr w:type="gramStart"/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t>软启动</w:t>
            </w:r>
            <w:proofErr w:type="gramEnd"/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t>,输入浪</w:t>
            </w:r>
            <w:proofErr w:type="gramStart"/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t>涌限制</w:t>
            </w:r>
            <w:proofErr w:type="gramEnd"/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t>,散热器和变压器温度保护,输出短路保护,输出直流保护,输出过载电流保护,可复位保护器保护,开关机</w:t>
            </w:r>
            <w:proofErr w:type="gramStart"/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t>哑音保护</w:t>
            </w:r>
            <w:proofErr w:type="gramEnd"/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t>,射频干扰保护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LED指示：保护灯，限幅灯，信号指示灯，电源指示灯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远程控制：可支持中</w:t>
            </w:r>
            <w:proofErr w:type="gramStart"/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t>控控制</w:t>
            </w:r>
            <w:proofErr w:type="gramEnd"/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工作模式：立体声，单声道，桥接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动态压限：全自动智能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主电源：190V-260V 50/60Hz FUSE：T20A</w:t>
            </w:r>
            <w:r>
              <w:rPr>
                <w:rStyle w:val="font61"/>
                <w:rFonts w:ascii="CESI仿宋-GB2312" w:eastAsia="CESI仿宋-GB2312" w:hAnsi="CESI仿宋-GB2312" w:cs="CESI仿宋-GB2312" w:hint="eastAsia"/>
                <w:sz w:val="18"/>
                <w:szCs w:val="18"/>
                <w:lang w:bidi="ar"/>
              </w:rPr>
              <w:br/>
              <w:t>高度：2U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</w:tr>
      <w:tr w:rsidR="00D22699" w:rsidTr="00D22699">
        <w:trPr>
          <w:trHeight w:val="5930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专业全频段扩声音箱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jc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国内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spacing w:line="20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系统类型：10寸二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分频全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频音箱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频率响应 ：65Hz-18kHz±3dB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灵敏度 ：95dB/1W/1M@±2dB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额定功率 ：225W，峰值功率 ：900W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高音单元 ：1.4"×1，低音单元 ：10"×1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最大声压级 ：105dB，阻抗 ：8Ω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连接器 ：NL4×2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箱体材料 ：18mm/BB中千板板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表面处理 ：黑色浮点耐磨喷漆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指向性 ：80×50(</w:t>
            </w:r>
            <w:proofErr w:type="spell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Deg</w:t>
            </w:r>
            <w:proofErr w:type="spellEnd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)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吊挂/安装 ：可横向可竖向吊挂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尺寸(</w:t>
            </w:r>
            <w:proofErr w:type="spell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WxHxD</w:t>
            </w:r>
            <w:proofErr w:type="spellEnd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)：520mm×300mm×340mm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净重 ：18kg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产品采用单片高、低音分颁器，台湾顶级音频电容，大功率无感铝壳电阻，大线径高纯度空芯电感。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自主研发高性能稳定的喇叭单元，独特的空气动力结构方式多点面设计，使声场覆盖更均匀全系列均具有良好的频率响应。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一个高效率高音驱动器安装于一个可以90度旋转的高强度玻璃钢号角上，号角的指向性为水平90度，垂直60度。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高强度的铁网，表面采用内贴防尘网布，即能有效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降低奇次谐波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，增强视觉美观，又能有效地保护系统单元的使用安全。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箱体采用精选俄罗斯进口高密度桦木夹板制作，进口木胶粉粘合，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角码加强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工艺，经过技师们精心打造，表面采用最流行的水性洒点耐磨喷漆工艺，经久耐用。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配备多达13个M8的吊点，可以适应各种不同环境的吊装需要，适应使用钢丝绳，吊架等多种安装方式。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只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D22699" w:rsidTr="00D22699">
        <w:trPr>
          <w:trHeight w:val="4455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数字电源时序器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spacing w:line="200" w:lineRule="exact"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国内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spacing w:line="20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01.面板颜色:黑色，2.0寸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液品屏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显示，配有输出电压实时显示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02.电力输入条件(单相3线): AC190-250V 50-60HZ两相 (三线:零，火，地)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03.通道数量: 8路万用插座继电器受控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04.继电器受控输出最大承受单路功率/总功率(无功功率):6000W/10000W最大承受无功功率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05.输出电源插座规格: 阻燃ABS材料，最大可承受13A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电流磷铜材质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，标准万用插座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06.点阵功能显示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07.液晶电压显示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08..顺序开启逆序关闭，自由设定通道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09.面板通道独立关闭默认1秒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10.每路开关间隔时间/定时时间: 默认2秒 (可以自由设置)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11.输出继电器触点电流: 30A 277VAC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12.电路板规格:双面纤维板，主电源走线二次加厚加粗处理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13.供电规格内皆变压器，适用全球电压AC190-250V 50-60HZ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14.主电缆线规格:3*6平方电缆线，总长度为1.8米配插头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15.开启类型:按键式轻触开关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16.单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路独立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开关功能:支持面板独立控制(可软件设定控制)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17.功能显示电压显示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表类型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:点阵功能显示电压表与功能菜单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br/>
              <w:t>18.外接控制开关接口:RS232 COM接口控制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台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 w:val="18"/>
                <w:szCs w:val="1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</w:tr>
      <w:tr w:rsidR="00D22699" w:rsidTr="00D22699">
        <w:trPr>
          <w:trHeight w:val="4055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单通道音频隔离器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国内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spacing w:line="24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音频隔离器通过隔离外界干扰，特别是隔离不共地产生的电流声噪声，有效地减少了设备间的电流噪声问题。这种设备能够系统间安全传输，保护设备不被对地电压差（静电）烧毁，从而确保设备的电气安全。此外，音频隔离器还能改善声音质量，去除毛刺，使得音频信号传输更加纯净。在实际应用中，音频隔离器通过使音源与隔离器输入端独自形成环路，同时隔离器输出端与负载也形成环路，从而保证了电气隔离，实现了净化音频信号传输、消除因电源异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相造成</w:t>
            </w:r>
            <w:proofErr w:type="gramEnd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的干扰噪声以及接地电位差等产生的干扰噪声。这种设备在家庭KTV音响系统中尤为重要，能够消除电流声、提高音质、实现长距离传输，并保护设备免受强电冲击的损害。音频隔离器在音频系统中发挥着至关重要的作用，不仅能够有效解决电流噪声问题，还能提高音质、保护设备，确保音频信号的稳定传输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</w:tr>
      <w:tr w:rsidR="00D22699" w:rsidTr="00D22699">
        <w:trPr>
          <w:trHeight w:val="3600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双通道视频会议主机专用交流声隔离器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国内</w:t>
            </w:r>
          </w:p>
        </w:tc>
        <w:tc>
          <w:tcPr>
            <w:tcW w:w="5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6BB2" w:rsidRDefault="00D22699" w:rsidP="007D6BB2">
            <w:pPr>
              <w:widowControl/>
              <w:spacing w:line="200" w:lineRule="exact"/>
              <w:jc w:val="left"/>
              <w:textAlignment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可以有效隔离视频会议主机与外部音频设备之间的电气信号，防止不同设备之间的干扰，保证音频信号的纯净度， 避免因接地环路等问题引起的噪声、嗡嗡声或电流声，提升音频质量。 对视频会议主机起到一定的保护作用，防止外部音频设备可能带来的过高电压或电流冲击。</w:t>
            </w:r>
          </w:p>
          <w:p w:rsidR="007D6BB2" w:rsidRDefault="00D22699" w:rsidP="007D6BB2">
            <w:pPr>
              <w:widowControl/>
              <w:spacing w:line="200" w:lineRule="exact"/>
              <w:jc w:val="left"/>
              <w:textAlignment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1. 高保真传输</w:t>
            </w:r>
          </w:p>
          <w:p w:rsidR="007D6BB2" w:rsidRDefault="00D22699" w:rsidP="007D6BB2">
            <w:pPr>
              <w:widowControl/>
              <w:spacing w:line="200" w:lineRule="exact"/>
              <w:jc w:val="left"/>
              <w:textAlignment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能够在隔离信号的同时，尽可能保持音频的高保真度，不损失音频的细节和动态范围。</w:t>
            </w: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br/>
              <w:t>2. 兼容性强</w:t>
            </w:r>
            <w:bookmarkStart w:id="0" w:name="_GoBack"/>
            <w:bookmarkEnd w:id="0"/>
          </w:p>
          <w:p w:rsidR="007D6BB2" w:rsidRDefault="00D22699" w:rsidP="007D6BB2">
            <w:pPr>
              <w:widowControl/>
              <w:spacing w:line="200" w:lineRule="exact"/>
              <w:jc w:val="left"/>
              <w:textAlignment w:val="center"/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通常可以与各种视频会议主机和音频设备兼容，适应不同的接口标准和信号类型。</w:t>
            </w:r>
          </w:p>
          <w:p w:rsidR="00D22699" w:rsidRDefault="00D22699" w:rsidP="007D6BB2">
            <w:pPr>
              <w:widowControl/>
              <w:spacing w:line="200" w:lineRule="exact"/>
              <w:jc w:val="left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3.安装简便， 体积较小，安装方便，可直接连接在视频会议主机与音频设备之间的音频线路上。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只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2699" w:rsidRDefault="00D22699">
            <w:pPr>
              <w:widowControl/>
              <w:jc w:val="center"/>
              <w:textAlignment w:val="center"/>
              <w:rPr>
                <w:rFonts w:ascii="CESI仿宋-GB2312" w:eastAsia="CESI仿宋-GB2312" w:hAnsi="CESI仿宋-GB2312" w:cs="CESI仿宋-GB2312"/>
                <w:color w:val="000000"/>
                <w:szCs w:val="21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</w:tr>
    </w:tbl>
    <w:p w:rsidR="00682F06" w:rsidRDefault="00682F06">
      <w:pPr>
        <w:widowControl/>
        <w:spacing w:line="320" w:lineRule="exact"/>
        <w:jc w:val="left"/>
        <w:rPr>
          <w:rFonts w:ascii="仿宋_GB2312" w:eastAsia="仿宋_GB2312" w:hAnsi="仿宋" w:cs="宋体"/>
          <w:sz w:val="24"/>
          <w:szCs w:val="24"/>
        </w:rPr>
      </w:pPr>
    </w:p>
    <w:sectPr w:rsidR="00682F06">
      <w:pgSz w:w="11906" w:h="16838"/>
      <w:pgMar w:top="1440" w:right="849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47A" w:rsidRDefault="0058447A" w:rsidP="00554812">
      <w:r>
        <w:separator/>
      </w:r>
    </w:p>
  </w:endnote>
  <w:endnote w:type="continuationSeparator" w:id="0">
    <w:p w:rsidR="0058447A" w:rsidRDefault="0058447A" w:rsidP="00554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华文仿宋"/>
    <w:charset w:val="86"/>
    <w:family w:val="auto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仿宋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47A" w:rsidRDefault="0058447A" w:rsidP="00554812">
      <w:r>
        <w:separator/>
      </w:r>
    </w:p>
  </w:footnote>
  <w:footnote w:type="continuationSeparator" w:id="0">
    <w:p w:rsidR="0058447A" w:rsidRDefault="0058447A" w:rsidP="00554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2D7"/>
    <w:rsid w:val="F63B6BD7"/>
    <w:rsid w:val="FD6FC3F3"/>
    <w:rsid w:val="00004EF7"/>
    <w:rsid w:val="00034CBE"/>
    <w:rsid w:val="00112D1B"/>
    <w:rsid w:val="001375F9"/>
    <w:rsid w:val="00221581"/>
    <w:rsid w:val="002579F6"/>
    <w:rsid w:val="003F74E6"/>
    <w:rsid w:val="004B48D4"/>
    <w:rsid w:val="004E18A7"/>
    <w:rsid w:val="00554812"/>
    <w:rsid w:val="0058447A"/>
    <w:rsid w:val="00592408"/>
    <w:rsid w:val="005D0956"/>
    <w:rsid w:val="005F7E28"/>
    <w:rsid w:val="00682F06"/>
    <w:rsid w:val="00683081"/>
    <w:rsid w:val="00710A25"/>
    <w:rsid w:val="007242F9"/>
    <w:rsid w:val="0073669F"/>
    <w:rsid w:val="007A4549"/>
    <w:rsid w:val="007D6BB2"/>
    <w:rsid w:val="00802343"/>
    <w:rsid w:val="00857DCD"/>
    <w:rsid w:val="008D260B"/>
    <w:rsid w:val="008D2E83"/>
    <w:rsid w:val="00934E49"/>
    <w:rsid w:val="00947248"/>
    <w:rsid w:val="00986E1C"/>
    <w:rsid w:val="009E02D7"/>
    <w:rsid w:val="00A03574"/>
    <w:rsid w:val="00A6719B"/>
    <w:rsid w:val="00AC79F1"/>
    <w:rsid w:val="00AF661B"/>
    <w:rsid w:val="00B742E8"/>
    <w:rsid w:val="00BB46F7"/>
    <w:rsid w:val="00CB07DB"/>
    <w:rsid w:val="00CF4EEC"/>
    <w:rsid w:val="00D22699"/>
    <w:rsid w:val="00DC05CB"/>
    <w:rsid w:val="00DE17F1"/>
    <w:rsid w:val="00E70136"/>
    <w:rsid w:val="00F004FD"/>
    <w:rsid w:val="00F30F2C"/>
    <w:rsid w:val="00F77A09"/>
    <w:rsid w:val="00F950E1"/>
    <w:rsid w:val="00FB2154"/>
    <w:rsid w:val="3F5DB93D"/>
    <w:rsid w:val="6B225977"/>
    <w:rsid w:val="6B719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24">
    <w:name w:val="_Style 24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131">
    <w:name w:val="font131"/>
    <w:basedOn w:val="a0"/>
    <w:qFormat/>
    <w:rPr>
      <w:rFonts w:ascii="微软雅黑" w:eastAsia="微软雅黑" w:hAnsi="微软雅黑" w:cs="微软雅黑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default"/>
      <w:color w:val="000000"/>
      <w:sz w:val="20"/>
      <w:szCs w:val="20"/>
      <w:u w:val="none"/>
    </w:rPr>
  </w:style>
  <w:style w:type="paragraph" w:styleId="a6">
    <w:name w:val="List Paragraph"/>
    <w:basedOn w:val="a"/>
    <w:uiPriority w:val="99"/>
    <w:unhideWhenUsed/>
    <w:rsid w:val="007D6B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Style24">
    <w:name w:val="_Style 24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131">
    <w:name w:val="font131"/>
    <w:basedOn w:val="a0"/>
    <w:qFormat/>
    <w:rPr>
      <w:rFonts w:ascii="微软雅黑" w:eastAsia="微软雅黑" w:hAnsi="微软雅黑" w:cs="微软雅黑" w:hint="default"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微软雅黑" w:eastAsia="微软雅黑" w:hAnsi="微软雅黑" w:cs="微软雅黑" w:hint="default"/>
      <w:color w:val="000000"/>
      <w:sz w:val="20"/>
      <w:szCs w:val="20"/>
      <w:u w:val="none"/>
    </w:rPr>
  </w:style>
  <w:style w:type="paragraph" w:styleId="a6">
    <w:name w:val="List Paragraph"/>
    <w:basedOn w:val="a"/>
    <w:uiPriority w:val="99"/>
    <w:unhideWhenUsed/>
    <w:rsid w:val="007D6B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332</Words>
  <Characters>1897</Characters>
  <Application>Microsoft Office Word</Application>
  <DocSecurity>0</DocSecurity>
  <Lines>15</Lines>
  <Paragraphs>4</Paragraphs>
  <ScaleCrop>false</ScaleCrop>
  <Company>MS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zxl</dc:creator>
  <cp:lastModifiedBy>USER</cp:lastModifiedBy>
  <cp:revision>43</cp:revision>
  <cp:lastPrinted>2024-11-09T01:33:00Z</cp:lastPrinted>
  <dcterms:created xsi:type="dcterms:W3CDTF">2024-08-01T08:20:00Z</dcterms:created>
  <dcterms:modified xsi:type="dcterms:W3CDTF">2024-11-27T11:00:00Z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