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兴业银行兰州分行关于财富人员专业综合能力提升采购项目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default" w:ascii="宋体" w:hAnsi="宋体" w:eastAsia="宋体" w:cs="宋体"/>
          <w:b/>
          <w:bCs/>
          <w:sz w:val="21"/>
          <w:szCs w:val="21"/>
          <w:lang w:val="en-US" w:eastAsia="zh-CN"/>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r>
        <w:rPr>
          <w:rFonts w:hint="eastAsia" w:ascii="宋体" w:hAnsi="宋体" w:eastAsia="宋体" w:cs="宋体"/>
          <w:b/>
          <w:bCs/>
          <w:sz w:val="21"/>
          <w:szCs w:val="21"/>
          <w:highlight w:val="yellow"/>
          <w:lang w:val="en-US" w:eastAsia="zh-CN"/>
        </w:rPr>
        <w:t>(以下各项请根据征集公告条目完善)</w:t>
      </w:r>
    </w:p>
    <w:tbl>
      <w:tblPr>
        <w:tblStyle w:val="1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采购需求</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5"/>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1.1.2</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1.1.3</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1.2.1</w:t>
            </w:r>
            <w:r>
              <w:rPr>
                <w:rFonts w:hint="eastAsia" w:ascii="宋体" w:hAnsi="宋体" w:cs="宋体"/>
                <w:sz w:val="21"/>
                <w:szCs w:val="21"/>
                <w:lang w:val="en-US" w:eastAsia="zh-CN"/>
              </w:rPr>
              <w:t xml:space="preserve"> 服务范围</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1.2.2</w:t>
            </w:r>
          </w:p>
        </w:tc>
        <w:tc>
          <w:tcPr>
            <w:tcW w:w="2378" w:type="dxa"/>
            <w:vAlign w:val="center"/>
          </w:tcPr>
          <w:p>
            <w:pPr>
              <w:ind w:left="0" w:leftChars="0" w:firstLine="0" w:firstLineChars="0"/>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2.1</w:t>
            </w:r>
          </w:p>
        </w:tc>
        <w:tc>
          <w:tcPr>
            <w:tcW w:w="2378" w:type="dxa"/>
            <w:vAlign w:val="center"/>
          </w:tcPr>
          <w:p>
            <w:pPr>
              <w:ind w:left="0" w:leftChars="0" w:firstLine="0" w:firstLineChars="0"/>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2.2</w:t>
            </w:r>
          </w:p>
        </w:tc>
        <w:tc>
          <w:tcPr>
            <w:tcW w:w="2378" w:type="dxa"/>
            <w:vAlign w:val="center"/>
          </w:tcPr>
          <w:p>
            <w:pPr>
              <w:ind w:left="0" w:leftChars="0" w:firstLine="0" w:firstLineChars="0"/>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ind w:left="0" w:leftChars="0" w:firstLine="0" w:firstLineChars="0"/>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ind w:left="0" w:leftChars="0" w:firstLine="0" w:firstLineChars="0"/>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2.5</w:t>
            </w:r>
          </w:p>
        </w:tc>
        <w:tc>
          <w:tcPr>
            <w:tcW w:w="2378" w:type="dxa"/>
            <w:vAlign w:val="center"/>
          </w:tcPr>
          <w:p>
            <w:pPr>
              <w:ind w:left="0" w:leftChars="0" w:firstLine="0" w:firstLineChars="0"/>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2.6</w:t>
            </w:r>
          </w:p>
        </w:tc>
        <w:tc>
          <w:tcPr>
            <w:tcW w:w="2378" w:type="dxa"/>
            <w:vAlign w:val="center"/>
          </w:tcPr>
          <w:p>
            <w:pPr>
              <w:ind w:left="0" w:leftChars="0" w:firstLine="0" w:firstLineChars="0"/>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2.7</w:t>
            </w:r>
          </w:p>
        </w:tc>
        <w:tc>
          <w:tcPr>
            <w:tcW w:w="2378" w:type="dxa"/>
            <w:vAlign w:val="center"/>
          </w:tcPr>
          <w:p>
            <w:pPr>
              <w:ind w:left="0" w:leftChars="0" w:firstLine="0" w:firstLineChars="0"/>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2.8</w:t>
            </w:r>
          </w:p>
        </w:tc>
        <w:tc>
          <w:tcPr>
            <w:tcW w:w="2378" w:type="dxa"/>
            <w:vAlign w:val="center"/>
          </w:tcPr>
          <w:p>
            <w:pPr>
              <w:ind w:left="0" w:leftChars="0" w:firstLine="0" w:firstLineChars="0"/>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ind w:left="0" w:leftChars="0" w:firstLine="0" w:firstLineChars="0"/>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ind w:left="0" w:leftChars="0" w:firstLine="0" w:firstLineChars="0"/>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ind w:left="0" w:leftChars="0" w:firstLine="0" w:firstLineChars="0"/>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keepNext w:val="0"/>
              <w:keepLines w:val="0"/>
              <w:pageBreakBefore w:val="0"/>
              <w:widowControl w:val="0"/>
              <w:kinsoku/>
              <w:wordWrap/>
              <w:overflowPunct/>
              <w:topLinePunct w:val="0"/>
              <w:autoSpaceDE/>
              <w:autoSpaceDN/>
              <w:bidi w:val="0"/>
              <w:adjustRightInd/>
              <w:snapToGrid/>
              <w:spacing w:line="579" w:lineRule="exact"/>
              <w:ind w:left="0" w:leftChars="0" w:firstLine="420" w:firstLineChars="200"/>
              <w:textAlignment w:val="auto"/>
              <w:rPr>
                <w:rFonts w:hint="eastAsia" w:ascii="宋体" w:hAnsi="宋体" w:eastAsia="宋体" w:cs="宋体"/>
                <w:b w:val="0"/>
                <w:bCs w:val="0"/>
                <w:kern w:val="2"/>
                <w:sz w:val="21"/>
                <w:szCs w:val="21"/>
                <w:lang w:val="en-US" w:eastAsia="zh-CN" w:bidi="ar-SA"/>
              </w:rPr>
            </w:pPr>
          </w:p>
        </w:tc>
        <w:tc>
          <w:tcPr>
            <w:tcW w:w="4819" w:type="dxa"/>
            <w:vAlign w:val="center"/>
          </w:tcPr>
          <w:p>
            <w:pPr>
              <w:keepNext w:val="0"/>
              <w:keepLines w:val="0"/>
              <w:pageBreakBefore w:val="0"/>
              <w:widowControl w:val="0"/>
              <w:kinsoku/>
              <w:wordWrap/>
              <w:overflowPunct/>
              <w:topLinePunct w:val="0"/>
              <w:autoSpaceDE/>
              <w:autoSpaceDN/>
              <w:bidi w:val="0"/>
              <w:adjustRightInd/>
              <w:snapToGrid/>
              <w:spacing w:line="579" w:lineRule="exact"/>
              <w:ind w:left="0" w:leftChars="0" w:firstLine="420" w:firstLineChars="200"/>
              <w:textAlignment w:val="auto"/>
              <w:rPr>
                <w:rFonts w:hint="eastAsia" w:ascii="宋体" w:hAnsi="宋体" w:eastAsia="宋体" w:cs="宋体"/>
                <w:b w:val="0"/>
                <w:bCs w:val="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10"/>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《兴业银行兰州分行关于财富人员专业综合能力提升项目</w:t>
      </w:r>
      <w:r>
        <w:rPr>
          <w:rFonts w:hint="eastAsia" w:ascii="仿宋" w:hAnsi="仿宋" w:eastAsia="仿宋" w:cs="仿宋"/>
          <w:b/>
          <w:bCs/>
          <w:sz w:val="28"/>
          <w:szCs w:val="28"/>
        </w:rPr>
        <w:t>》相关案例情况：</w:t>
      </w:r>
      <w:bookmarkStart w:id="1" w:name="_GoBack"/>
      <w:bookmarkEnd w:id="1"/>
    </w:p>
    <w:tbl>
      <w:tblPr>
        <w:tblStyle w:val="1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3"/>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2"/>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abstractNum w:abstractNumId="1">
    <w:nsid w:val="23A109AD"/>
    <w:multiLevelType w:val="multilevel"/>
    <w:tmpl w:val="23A109AD"/>
    <w:lvl w:ilvl="0" w:tentative="0">
      <w:start w:val="1"/>
      <w:numFmt w:val="decimal"/>
      <w:lvlText w:val="%1."/>
      <w:lvlJc w:val="left"/>
      <w:pPr>
        <w:ind w:left="425" w:hanging="425"/>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1" w:tentative="0">
      <w:start w:val="1"/>
      <w:numFmt w:val="decimal"/>
      <w:lvlText w:val="%1.%2."/>
      <w:lvlJc w:val="left"/>
      <w:pPr>
        <w:ind w:left="567" w:hanging="567"/>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 w:val="36"/>
        <w:szCs w:val="36"/>
        <w:u w:val="none"/>
        <w:vertAlign w:val="baseline"/>
      </w:rPr>
    </w:lvl>
    <w:lvl w:ilvl="2" w:tentative="0">
      <w:start w:val="1"/>
      <w:numFmt w:val="decimal"/>
      <w:lvlText w:val="%1.%2.%3."/>
      <w:lvlJc w:val="left"/>
      <w:pPr>
        <w:ind w:left="709" w:hanging="709"/>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2"/>
      <w:lvlText w:val="%1.%2.%3.%4."/>
      <w:lvlJc w:val="left"/>
      <w:pPr>
        <w:ind w:left="851" w:hanging="851"/>
      </w:pPr>
      <w:rPr>
        <w:b w:val="0"/>
        <w:bCs w:val="0"/>
        <w:i w:val="0"/>
        <w:iCs w:val="0"/>
        <w:caps w:val="0"/>
        <w:smallCaps w:val="0"/>
        <w:strike w:val="0"/>
        <w:dstrike w:val="0"/>
        <w:vanish w:val="0"/>
        <w:color w:val="000000"/>
        <w:spacing w:val="0"/>
        <w:position w:val="0"/>
        <w:u w:val="none"/>
        <w:vertAlign w:val="baseline"/>
      </w:rPr>
    </w:lvl>
    <w:lvl w:ilvl="4" w:tentative="0">
      <w:start w:val="1"/>
      <w:numFmt w:val="decimal"/>
      <w:lvlText w:val="%1.%2.%3.%4.%5."/>
      <w:lvlJc w:val="left"/>
      <w:pPr>
        <w:ind w:left="1418" w:hanging="992"/>
      </w:pPr>
      <w:rPr>
        <w:rFonts w:hint="default" w:ascii="Times New Roman" w:hAnsi="Times New Roman" w:cs="Times New Roman"/>
        <w:b/>
        <w:bCs w:val="0"/>
        <w:i w:val="0"/>
        <w:iCs w:val="0"/>
        <w:caps w:val="0"/>
        <w:smallCaps w:val="0"/>
        <w:strike w:val="0"/>
        <w:dstrike w:val="0"/>
        <w:vanish w:val="0"/>
        <w:color w:val="000000"/>
        <w:spacing w:val="0"/>
        <w:position w:val="0"/>
        <w:u w:val="none"/>
        <w:vertAlign w:val="baseline"/>
      </w:rPr>
    </w:lvl>
    <w:lvl w:ilvl="5" w:tentative="0">
      <w:start w:val="1"/>
      <w:numFmt w:val="decimal"/>
      <w:lvlText w:val="%1.%2.%3.%4.%5.%6."/>
      <w:lvlJc w:val="left"/>
      <w:pPr>
        <w:ind w:left="1134" w:hanging="1134"/>
      </w:pPr>
      <w:rPr>
        <w:rFonts w:hint="eastAsia" w:ascii="Times New Roman" w:hAnsi="Times New Roman" w:cs="Times New Roman"/>
        <w:b/>
        <w:bCs w:val="0"/>
        <w:i w:val="0"/>
        <w:iCs w:val="0"/>
        <w:caps w:val="0"/>
        <w:smallCaps w:val="0"/>
        <w:strike w:val="0"/>
        <w:dstrike w:val="0"/>
        <w:snapToGrid w:val="0"/>
        <w:vanish w:val="0"/>
        <w:color w:val="000000"/>
        <w:spacing w:val="0"/>
        <w:w w:val="0"/>
        <w:kern w:val="0"/>
        <w:position w:val="0"/>
        <w:szCs w:val="0"/>
        <w:u w:val="none"/>
        <w:vertAlign w:val="baseline"/>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469F6D47"/>
    <w:rsid w:val="761415FB"/>
    <w:rsid w:val="76472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paragraph" w:styleId="2">
    <w:name w:val="heading 4"/>
    <w:basedOn w:val="1"/>
    <w:next w:val="1"/>
    <w:unhideWhenUsed/>
    <w:qFormat/>
    <w:uiPriority w:val="9"/>
    <w:pPr>
      <w:keepNext/>
      <w:keepLines/>
      <w:numPr>
        <w:ilvl w:val="3"/>
        <w:numId w:val="1"/>
      </w:numPr>
      <w:spacing w:before="280" w:after="290" w:line="376" w:lineRule="auto"/>
      <w:outlineLvl w:val="3"/>
    </w:pPr>
    <w:rPr>
      <w:rFonts w:ascii="Cambria" w:hAnsi="Cambria"/>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next w:val="5"/>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5">
    <w:name w:val="Body Text First Indent 2"/>
    <w:basedOn w:val="4"/>
    <w:next w:val="6"/>
    <w:qFormat/>
    <w:uiPriority w:val="0"/>
    <w:pPr>
      <w:tabs>
        <w:tab w:val="left" w:pos="0"/>
        <w:tab w:val="left" w:pos="993"/>
        <w:tab w:val="left" w:pos="1134"/>
      </w:tabs>
      <w:spacing w:line="312" w:lineRule="atLeast"/>
      <w:ind w:firstLine="420"/>
    </w:pPr>
  </w:style>
  <w:style w:type="paragraph" w:customStyle="1" w:styleId="6">
    <w:name w:val="正文格式"/>
    <w:basedOn w:val="1"/>
    <w:qFormat/>
    <w:uiPriority w:val="0"/>
    <w:pPr>
      <w:tabs>
        <w:tab w:val="left" w:pos="992"/>
      </w:tabs>
      <w:spacing w:line="240" w:lineRule="auto"/>
      <w:ind w:firstLine="200" w:firstLineChars="200"/>
    </w:pPr>
    <w:rPr>
      <w:rFonts w:ascii="宋体" w:hAnsi="宋体"/>
      <w:sz w:val="28"/>
    </w:rPr>
  </w:style>
  <w:style w:type="paragraph" w:styleId="7">
    <w:name w:val="Plain Text"/>
    <w:basedOn w:val="1"/>
    <w:qFormat/>
    <w:uiPriority w:val="99"/>
    <w:rPr>
      <w:rFonts w:ascii="宋体" w:hAnsi="Courier New" w:cs="Courier New"/>
      <w:szCs w:val="21"/>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陈瑞琳</cp:lastModifiedBy>
  <dcterms:modified xsi:type="dcterms:W3CDTF">2025-05-21T07:40:46Z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