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23BE8">
      <w:pPr>
        <w:keepNext w:val="0"/>
        <w:keepLines w:val="0"/>
        <w:pageBreakBefore w:val="0"/>
        <w:widowControl/>
        <w:kinsoku/>
        <w:wordWrap/>
        <w:overflowPunct/>
        <w:topLinePunct w:val="0"/>
        <w:autoSpaceDE/>
        <w:autoSpaceDN/>
        <w:bidi w:val="0"/>
        <w:adjustRightInd w:val="0"/>
        <w:snapToGrid w:val="0"/>
        <w:spacing w:line="440" w:lineRule="exact"/>
        <w:ind w:firstLine="434" w:firstLineChars="135"/>
        <w:jc w:val="center"/>
        <w:textAlignment w:val="auto"/>
        <w:rPr>
          <w:rFonts w:hint="eastAsia" w:ascii="仿宋" w:hAnsi="仿宋" w:eastAsia="仿宋" w:cs="仿宋"/>
          <w:b/>
          <w:bCs/>
          <w:color w:val="auto"/>
          <w:kern w:val="0"/>
          <w:sz w:val="32"/>
          <w:szCs w:val="32"/>
          <w:lang w:val="en-US" w:eastAsia="zh-CN"/>
        </w:rPr>
      </w:pPr>
      <w:r>
        <w:rPr>
          <w:rFonts w:hint="eastAsia" w:ascii="仿宋" w:hAnsi="仿宋" w:cs="仿宋"/>
          <w:b/>
          <w:bCs/>
          <w:color w:val="auto"/>
          <w:kern w:val="0"/>
          <w:sz w:val="32"/>
          <w:szCs w:val="32"/>
          <w:lang w:val="en-US" w:eastAsia="zh-CN"/>
        </w:rPr>
        <w:t>采购内容</w:t>
      </w:r>
    </w:p>
    <w:p w14:paraId="5A4C1865">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color w:val="auto"/>
          <w:spacing w:val="-20"/>
          <w:kern w:val="0"/>
          <w:lang w:eastAsia="zh-CN"/>
        </w:rPr>
      </w:pPr>
      <w:r>
        <w:rPr>
          <w:rFonts w:hint="eastAsia" w:ascii="仿宋" w:hAnsi="仿宋" w:eastAsia="仿宋" w:cs="仿宋"/>
          <w:b/>
          <w:bCs/>
          <w:color w:val="auto"/>
          <w:kern w:val="0"/>
        </w:rPr>
        <w:t>一、项目名称：</w:t>
      </w:r>
      <w:r>
        <w:rPr>
          <w:rFonts w:hint="eastAsia" w:ascii="仿宋" w:hAnsi="仿宋" w:eastAsia="仿宋" w:cs="仿宋"/>
          <w:bCs/>
          <w:color w:val="auto"/>
          <w:kern w:val="0"/>
          <w:lang w:eastAsia="zh-CN"/>
        </w:rPr>
        <w:t>酒泉职业技术大学神州居、揽月居直饮水机采购项目</w:t>
      </w:r>
    </w:p>
    <w:p w14:paraId="48F247CF">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color w:val="auto"/>
          <w:kern w:val="0"/>
          <w:lang w:eastAsia="zh-CN"/>
        </w:rPr>
      </w:pPr>
      <w:r>
        <w:rPr>
          <w:rFonts w:hint="eastAsia" w:ascii="仿宋" w:hAnsi="仿宋" w:eastAsia="仿宋" w:cs="仿宋"/>
          <w:b/>
          <w:bCs/>
          <w:color w:val="auto"/>
          <w:kern w:val="0"/>
        </w:rPr>
        <w:t>二、项目编号：</w:t>
      </w:r>
      <w:r>
        <w:rPr>
          <w:rFonts w:hint="eastAsia" w:ascii="仿宋" w:hAnsi="仿宋" w:eastAsia="仿宋" w:cs="仿宋"/>
          <w:bCs/>
          <w:color w:val="auto"/>
          <w:kern w:val="0"/>
          <w:lang w:eastAsia="zh-CN"/>
        </w:rPr>
        <w:t>GTF-ZFCG[2025]06号</w:t>
      </w:r>
    </w:p>
    <w:p w14:paraId="355E51A8">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b/>
          <w:bCs w:val="0"/>
          <w:color w:val="auto"/>
          <w:kern w:val="0"/>
          <w:lang w:eastAsia="zh-CN"/>
        </w:rPr>
      </w:pPr>
      <w:r>
        <w:rPr>
          <w:rFonts w:hint="eastAsia" w:ascii="仿宋" w:hAnsi="仿宋" w:eastAsia="仿宋" w:cs="仿宋"/>
          <w:b/>
          <w:bCs w:val="0"/>
          <w:color w:val="auto"/>
          <w:kern w:val="0"/>
          <w:lang w:eastAsia="zh-CN"/>
        </w:rPr>
        <w:t>三、预算资金：</w:t>
      </w:r>
    </w:p>
    <w:p w14:paraId="57F02B37">
      <w:pPr>
        <w:keepNext w:val="0"/>
        <w:keepLines w:val="0"/>
        <w:pageBreakBefore w:val="0"/>
        <w:widowControl/>
        <w:kinsoku/>
        <w:wordWrap/>
        <w:overflowPunct/>
        <w:topLinePunct w:val="0"/>
        <w:autoSpaceDE/>
        <w:autoSpaceDN/>
        <w:bidi w:val="0"/>
        <w:adjustRightInd w:val="0"/>
        <w:snapToGrid w:val="0"/>
        <w:spacing w:line="440" w:lineRule="exact"/>
        <w:ind w:firstLine="324" w:firstLineChars="135"/>
        <w:textAlignment w:val="auto"/>
        <w:rPr>
          <w:rFonts w:hint="eastAsia" w:ascii="仿宋" w:hAnsi="仿宋" w:eastAsia="仿宋" w:cs="仿宋"/>
          <w:bCs/>
          <w:color w:val="auto"/>
          <w:kern w:val="0"/>
          <w:lang w:eastAsia="zh-CN"/>
        </w:rPr>
      </w:pPr>
      <w:r>
        <w:rPr>
          <w:rFonts w:hint="eastAsia" w:ascii="仿宋" w:hAnsi="仿宋" w:eastAsia="仿宋" w:cs="仿宋"/>
          <w:bCs/>
          <w:color w:val="auto"/>
          <w:kern w:val="0"/>
          <w:lang w:eastAsia="zh-CN"/>
        </w:rPr>
        <w:t>（一）直饮水机采购预算金额：小写：¥107580.</w:t>
      </w:r>
      <w:bookmarkStart w:id="0" w:name="_GoBack"/>
      <w:bookmarkEnd w:id="0"/>
      <w:r>
        <w:rPr>
          <w:rFonts w:hint="eastAsia" w:ascii="仿宋" w:hAnsi="仿宋" w:eastAsia="仿宋" w:cs="仿宋"/>
          <w:bCs/>
          <w:color w:val="auto"/>
          <w:kern w:val="0"/>
          <w:lang w:eastAsia="zh-CN"/>
        </w:rPr>
        <w:t>00元，大写：人民币壹拾万零柒仟伍佰捌拾元整；</w:t>
      </w:r>
    </w:p>
    <w:p w14:paraId="682972A1">
      <w:pPr>
        <w:keepNext w:val="0"/>
        <w:keepLines w:val="0"/>
        <w:pageBreakBefore w:val="0"/>
        <w:widowControl/>
        <w:kinsoku/>
        <w:wordWrap/>
        <w:overflowPunct/>
        <w:topLinePunct w:val="0"/>
        <w:autoSpaceDE/>
        <w:autoSpaceDN/>
        <w:bidi w:val="0"/>
        <w:adjustRightInd w:val="0"/>
        <w:snapToGrid w:val="0"/>
        <w:spacing w:line="440" w:lineRule="exact"/>
        <w:ind w:firstLine="324" w:firstLineChars="135"/>
        <w:textAlignment w:val="auto"/>
        <w:rPr>
          <w:rFonts w:hint="eastAsia" w:ascii="仿宋" w:hAnsi="仿宋" w:eastAsia="仿宋" w:cs="仿宋"/>
          <w:bCs/>
          <w:color w:val="auto"/>
          <w:kern w:val="0"/>
          <w:lang w:eastAsia="zh-CN"/>
        </w:rPr>
      </w:pPr>
      <w:r>
        <w:rPr>
          <w:rFonts w:hint="eastAsia" w:ascii="仿宋" w:hAnsi="仿宋" w:eastAsia="仿宋" w:cs="仿宋"/>
          <w:bCs/>
          <w:color w:val="auto"/>
          <w:kern w:val="0"/>
          <w:lang w:eastAsia="zh-CN"/>
        </w:rPr>
        <w:t>（二）维保期内每台设备每年维保至少三次，直饮水机每台每次维保费用不超过800元，合计每台每年维护费用不超过2400元（含五级滤）。</w:t>
      </w:r>
    </w:p>
    <w:p w14:paraId="0A7AF3DA">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bCs/>
          <w:color w:val="auto"/>
          <w:kern w:val="0"/>
          <w:lang w:eastAsia="zh-CN"/>
        </w:rPr>
      </w:pPr>
      <w:r>
        <w:rPr>
          <w:rFonts w:hint="eastAsia" w:ascii="仿宋" w:hAnsi="仿宋" w:eastAsia="仿宋" w:cs="仿宋"/>
          <w:b/>
          <w:bCs w:val="0"/>
          <w:color w:val="auto"/>
          <w:kern w:val="0"/>
          <w:lang w:eastAsia="zh-CN"/>
        </w:rPr>
        <w:t>四、采购内容：</w:t>
      </w:r>
      <w:r>
        <w:rPr>
          <w:rFonts w:hint="eastAsia" w:ascii="仿宋" w:hAnsi="仿宋" w:eastAsia="仿宋" w:cs="仿宋"/>
          <w:bCs/>
          <w:color w:val="auto"/>
          <w:kern w:val="0"/>
          <w:lang w:eastAsia="zh-CN"/>
        </w:rPr>
        <w:t>对酒泉职业技术大学神州居、揽月居直饮水机进行购置。（详见下表购置清单）</w:t>
      </w:r>
    </w:p>
    <w:p w14:paraId="34199E8A">
      <w:pPr>
        <w:widowControl/>
        <w:jc w:val="center"/>
        <w:textAlignment w:val="center"/>
        <w:rPr>
          <w:rFonts w:hint="eastAsia" w:ascii="仿宋" w:hAnsi="仿宋" w:eastAsia="仿宋" w:cs="仿宋"/>
          <w:color w:val="auto"/>
        </w:rPr>
      </w:pPr>
      <w:r>
        <w:rPr>
          <w:rFonts w:hint="eastAsia" w:ascii="仿宋" w:hAnsi="仿宋" w:eastAsia="仿宋" w:cs="仿宋"/>
          <w:color w:val="auto"/>
          <w:kern w:val="0"/>
          <w:lang w:eastAsia="zh-CN" w:bidi="ar"/>
        </w:rPr>
        <w:t>酒泉职业技术大学神州居、揽月居直饮水机采购项目</w:t>
      </w:r>
      <w:r>
        <w:rPr>
          <w:rFonts w:hint="eastAsia" w:ascii="仿宋" w:hAnsi="仿宋" w:eastAsia="仿宋" w:cs="仿宋"/>
          <w:color w:val="auto"/>
          <w:kern w:val="0"/>
          <w:lang w:bidi="ar"/>
        </w:rPr>
        <w:t>购置清单</w:t>
      </w:r>
    </w:p>
    <w:tbl>
      <w:tblPr>
        <w:tblStyle w:val="5"/>
        <w:tblW w:w="9624" w:type="dxa"/>
        <w:jc w:val="center"/>
        <w:tblLayout w:type="fixed"/>
        <w:tblCellMar>
          <w:top w:w="0" w:type="dxa"/>
          <w:left w:w="108" w:type="dxa"/>
          <w:bottom w:w="0" w:type="dxa"/>
          <w:right w:w="108" w:type="dxa"/>
        </w:tblCellMar>
      </w:tblPr>
      <w:tblGrid>
        <w:gridCol w:w="457"/>
        <w:gridCol w:w="552"/>
        <w:gridCol w:w="6012"/>
        <w:gridCol w:w="658"/>
        <w:gridCol w:w="1391"/>
        <w:gridCol w:w="554"/>
      </w:tblGrid>
      <w:tr w14:paraId="127DBD4B">
        <w:tblPrEx>
          <w:tblCellMar>
            <w:top w:w="0" w:type="dxa"/>
            <w:left w:w="108" w:type="dxa"/>
            <w:bottom w:w="0" w:type="dxa"/>
            <w:right w:w="108" w:type="dxa"/>
          </w:tblCellMar>
        </w:tblPrEx>
        <w:trPr>
          <w:trHeight w:val="618"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AC70">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FAD9">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名称</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052">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主要参数要求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5EAF">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数量(台)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AF2">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参考图片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98B">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用途</w:t>
            </w:r>
          </w:p>
        </w:tc>
      </w:tr>
      <w:tr w14:paraId="42D20AF9">
        <w:tblPrEx>
          <w:tblCellMar>
            <w:top w:w="0" w:type="dxa"/>
            <w:left w:w="108" w:type="dxa"/>
            <w:bottom w:w="0" w:type="dxa"/>
            <w:right w:w="108" w:type="dxa"/>
          </w:tblCellMar>
        </w:tblPrEx>
        <w:trPr>
          <w:trHeight w:val="83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EB4">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E86C">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直饮水机</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0C2">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1.出水量：开水≥90L/h</w:t>
            </w:r>
          </w:p>
          <w:p w14:paraId="1D893A5B">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          直饮水≥70L/h</w:t>
            </w:r>
          </w:p>
          <w:p w14:paraId="3B98DF12">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2.加热内胆≥70升（提供与投标产品型号一致的整机《涉及饮用水卫生安全产品卫生许可批件》复印件做为依据，证件内须注明加热内胆容量）；</w:t>
            </w:r>
          </w:p>
          <w:p w14:paraId="6CD7084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color w:val="auto"/>
                <w:sz w:val="21"/>
                <w:szCs w:val="21"/>
              </w:rPr>
              <w:t>*</w:t>
            </w:r>
            <w:r>
              <w:rPr>
                <w:rFonts w:hint="eastAsia" w:ascii="仿宋" w:hAnsi="仿宋" w:eastAsia="仿宋" w:cs="仿宋"/>
                <w:color w:val="auto"/>
                <w:kern w:val="0"/>
                <w:sz w:val="21"/>
                <w:szCs w:val="21"/>
                <w:lang w:bidi="ar"/>
              </w:rPr>
              <w:t>3.电源/功率：380V/50Hz，6KW（提供与投标产品型号一致的整机CQC产品认证证书复印件，证件内须注明电源/功率）；</w:t>
            </w:r>
          </w:p>
          <w:p w14:paraId="21E770C3">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bCs/>
                <w:color w:val="auto"/>
                <w:kern w:val="0"/>
                <w:sz w:val="21"/>
                <w:szCs w:val="21"/>
                <w:lang w:bidi="ar"/>
              </w:rPr>
              <w:t>*</w:t>
            </w:r>
            <w:r>
              <w:rPr>
                <w:rFonts w:hint="eastAsia" w:ascii="仿宋" w:hAnsi="仿宋" w:eastAsia="仿宋" w:cs="仿宋"/>
                <w:color w:val="auto"/>
                <w:kern w:val="0"/>
                <w:sz w:val="21"/>
                <w:szCs w:val="21"/>
                <w:lang w:bidi="ar"/>
              </w:rPr>
              <w:t>4.出水方式：两龙头，一开水，一常温纯净水；互联网式水控系统（一开一直饮水），龙头采用无铅材质，增加量≦0.001mg/L（提供与投标产品制造商的无铅龙头检测报告，且须提供全国认证认可信息公共服务平台官网http://cx.cnca.cn/查询截图）；</w:t>
            </w:r>
          </w:p>
          <w:p w14:paraId="48DC0F6A">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5.柜式一体式饮水设备外形尺寸（长×宽×高）：62*47*177cm（±5%）（提供投标产品参 数说明或彩页等证明材料）；</w:t>
            </w:r>
          </w:p>
          <w:p w14:paraId="0D77F46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bCs/>
                <w:color w:val="auto"/>
                <w:kern w:val="0"/>
                <w:sz w:val="21"/>
                <w:szCs w:val="21"/>
                <w:lang w:bidi="ar"/>
              </w:rPr>
              <w:t>*</w:t>
            </w:r>
            <w:r>
              <w:rPr>
                <w:rFonts w:hint="eastAsia" w:ascii="仿宋" w:hAnsi="仿宋" w:eastAsia="仿宋" w:cs="仿宋"/>
                <w:color w:val="auto"/>
                <w:kern w:val="0"/>
                <w:sz w:val="21"/>
                <w:szCs w:val="21"/>
                <w:lang w:bidi="ar"/>
              </w:rPr>
              <w:t>6.过滤配置：不低于5级反渗透过滤（PP棉滤芯+活性炭+PP棉活性炭棒复合滤芯+RO反渗透膜滤芯），净水流量≥1.05L/min，额定净水量≥10000L（提供与投标产品型号一致的整机《涉及饮用水卫生安全产品卫生许可批件》复印件，证件内须注明过滤配置，净水流量和额定净水量）；</w:t>
            </w:r>
          </w:p>
          <w:p w14:paraId="7647E390">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7.配备纯水储水装置≥15L（提供与投标产品型号一致的整机《涉及饮用水卫生安全产品卫生许可批件》复印件做为依据，证件内须注明纯水储水装置容量）；</w:t>
            </w:r>
          </w:p>
          <w:p w14:paraId="10601707">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8、具有节水功能，净水产水量≥65%，水效等级1级（提供与投标产品型号一致的中国水效标识图以及中国水效标识网产品备案信息公示查询截图）</w:t>
            </w:r>
          </w:p>
          <w:p w14:paraId="2D57D3FF">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color w:val="auto"/>
                <w:sz w:val="21"/>
                <w:szCs w:val="21"/>
              </w:rPr>
              <w:t>*</w:t>
            </w:r>
            <w:r>
              <w:rPr>
                <w:rFonts w:hint="eastAsia" w:ascii="仿宋" w:hAnsi="仿宋" w:eastAsia="仿宋" w:cs="仿宋"/>
                <w:color w:val="auto"/>
                <w:kern w:val="0"/>
                <w:sz w:val="21"/>
                <w:szCs w:val="21"/>
                <w:lang w:bidi="ar"/>
              </w:rPr>
              <w:t>9.采用步进式加热技术，逐层加热逐层补水，进水时具有电磁阀控制，冷热水分离一次沸腾，避免混合水和千沸水，确保用水卫生和减少能源浪费。（提供投标产品制造商获得国家质监、科技或知识产权部门颁发的证明文件复印件以作证明）；</w:t>
            </w:r>
          </w:p>
          <w:p w14:paraId="4AFB3E88">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color w:val="auto"/>
                <w:sz w:val="21"/>
                <w:szCs w:val="21"/>
              </w:rPr>
              <w:t>*</w:t>
            </w:r>
            <w:r>
              <w:rPr>
                <w:rFonts w:hint="eastAsia" w:ascii="仿宋" w:hAnsi="仿宋" w:eastAsia="仿宋" w:cs="仿宋"/>
                <w:color w:val="auto"/>
                <w:kern w:val="0"/>
                <w:sz w:val="21"/>
                <w:szCs w:val="21"/>
                <w:lang w:bidi="ar"/>
              </w:rPr>
              <w:t>10.采用滤芯射频感应功能：滤芯射频感应功能，具有滤芯真伪识别、使用寿命提醒功能，保证水质卫生安全（提供投标产品制造商获得国家质检、科技或知识产权部门颁发的证明文件复印件以作证明）；</w:t>
            </w:r>
          </w:p>
          <w:p w14:paraId="190C7817">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color w:val="auto"/>
                <w:sz w:val="21"/>
                <w:szCs w:val="21"/>
              </w:rPr>
              <w:t>*</w:t>
            </w:r>
            <w:r>
              <w:rPr>
                <w:rFonts w:hint="eastAsia" w:ascii="仿宋" w:hAnsi="仿宋" w:eastAsia="仿宋" w:cs="仿宋"/>
                <w:color w:val="auto"/>
                <w:kern w:val="0"/>
                <w:sz w:val="21"/>
                <w:szCs w:val="21"/>
                <w:lang w:bidi="ar"/>
              </w:rPr>
              <w:t>11.采用微电压无腐蚀电极，解决电极腐蚀问题（提供投标产品制造商获得国家质检、科技或知识产权部门颁发的证明文件复印件以作证明）；</w:t>
            </w:r>
          </w:p>
          <w:p w14:paraId="0D62C6F9">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12.具有智能水控系统，水不开,则无水流出，避免饮用生水，触摸开关，使用更方便。</w:t>
            </w:r>
          </w:p>
          <w:p w14:paraId="7AE5521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13.智能定时、自带遥控、（可选配自动消毒、隔夜排空），设有液晶中文显示屏，显示包含但不限于以下内容：温度、时间、饮水机运行技术参数、故障代码或中文报警显示。</w:t>
            </w:r>
          </w:p>
          <w:p w14:paraId="7DD4323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14.全圆弧无尖角设计；防漏电低压24伏设计；制作完全符合CQC质量安全认证要求。</w:t>
            </w:r>
          </w:p>
          <w:p w14:paraId="76E33AA5">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15.节能技术：采用饮水机用高效热交换器技术，内外管均采用304不锈钢波纹管，高效节能，节能80%以上，水温调控不得采用原水或经过净化的原水和开水直接混合方式。</w:t>
            </w:r>
          </w:p>
          <w:p w14:paraId="6DBAC261">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16.可防爆、防触电、防渗漏、防干烧、防缺水、防超温、防火、防蒸汽，安全可靠；防触电保护I类。</w:t>
            </w:r>
          </w:p>
          <w:p w14:paraId="7E7404F7">
            <w:pPr>
              <w:wordWrap w:val="0"/>
              <w:rPr>
                <w:rFonts w:hint="eastAsia" w:ascii="仿宋" w:hAnsi="仿宋" w:eastAsia="仿宋" w:cs="仿宋"/>
                <w:color w:val="auto"/>
                <w:kern w:val="0"/>
                <w:sz w:val="21"/>
                <w:szCs w:val="21"/>
                <w:lang w:bidi="ar"/>
              </w:rPr>
            </w:pPr>
            <w:r>
              <w:rPr>
                <w:rFonts w:hint="eastAsia" w:ascii="仿宋" w:hAnsi="仿宋" w:eastAsia="仿宋" w:cs="仿宋"/>
                <w:b/>
                <w:color w:val="auto"/>
                <w:sz w:val="21"/>
                <w:szCs w:val="21"/>
              </w:rPr>
              <w:t>*</w:t>
            </w:r>
            <w:r>
              <w:rPr>
                <w:rFonts w:hint="eastAsia" w:ascii="仿宋" w:hAnsi="仿宋" w:eastAsia="仿宋" w:cs="仿宋"/>
                <w:color w:val="auto"/>
                <w:kern w:val="0"/>
                <w:sz w:val="21"/>
                <w:szCs w:val="21"/>
                <w:lang w:bidi="ar"/>
              </w:rPr>
              <w:t>17.电气要求：整机符合GB/T 26572-2011,6B/T 39560.301-2020,GB/T 39560.4-2021,GB/T 39560.5-2021, GB/T39560.6-2020,GB/T 39560.701-2020，GB/T 39560.702-2021.要求，符合RoHS认证（提供投标产品品牌型号一致的整机《RoHS符合性认证证书》复印件并提供全国认证认可信息公共服务平台官网http://cx.cnca.cn/查询截图）；</w:t>
            </w:r>
          </w:p>
          <w:p w14:paraId="52977B49">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b/>
                <w:color w:val="auto"/>
                <w:sz w:val="21"/>
                <w:szCs w:val="21"/>
              </w:rPr>
              <w:t>*</w:t>
            </w:r>
            <w:r>
              <w:rPr>
                <w:rFonts w:hint="eastAsia" w:ascii="仿宋" w:hAnsi="仿宋" w:eastAsia="仿宋" w:cs="仿宋"/>
                <w:color w:val="auto"/>
                <w:kern w:val="0"/>
                <w:sz w:val="21"/>
                <w:szCs w:val="21"/>
                <w:lang w:bidi="ar"/>
              </w:rPr>
              <w:t>18.食品卫生要求：投标产品整机均符合GB4806.11-2016；GB4806.7-2023；GB4806.9-2023要求保证出水安全（提供投标产品品牌型号一致的整机《食品接触产品安全认证证书》复印件和全国认证认可信息公共服务平台官网http://cx.cnca.cn/查询截图）；</w:t>
            </w:r>
          </w:p>
          <w:p w14:paraId="56A75B4D">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19.环保要求：整机符合GB/T24021-2024要求，通过中国环境标志产品认证（提供与投标产品型号一致的整机中国环境标志产品认证证书复印件并提供全国认证认可信息公共服务平台官网http://cx.cnca.cn/查询截图）；</w:t>
            </w:r>
          </w:p>
          <w:p w14:paraId="6D55BF5C">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20.卡机支持刷卡（所有芯片）、支付宝、微信等支付方式使用，卡机具有智能化设备管理服务系统、远程控制、智能化数据分析，支持4G互联网或蓝牙连接；收取的费用进入院方指定账户。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036D">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5C0F">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bdr w:val="single" w:color="000000" w:sz="4" w:space="0"/>
                <w:lang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-814705</wp:posOffset>
                  </wp:positionV>
                  <wp:extent cx="836930" cy="2472055"/>
                  <wp:effectExtent l="0" t="0" r="1270" b="12065"/>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4"/>
                          <a:stretch>
                            <a:fillRect/>
                          </a:stretch>
                        </pic:blipFill>
                        <pic:spPr>
                          <a:xfrm>
                            <a:off x="0" y="0"/>
                            <a:ext cx="836930" cy="2472055"/>
                          </a:xfrm>
                          <a:prstGeom prst="rect">
                            <a:avLst/>
                          </a:prstGeom>
                          <a:noFill/>
                          <a:ln>
                            <a:noFill/>
                          </a:ln>
                        </pic:spPr>
                      </pic:pic>
                    </a:graphicData>
                  </a:graphic>
                </wp:anchor>
              </w:drawing>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B5C">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天和居、天舟居供应学生饮水</w:t>
            </w:r>
          </w:p>
        </w:tc>
      </w:tr>
    </w:tbl>
    <w:p w14:paraId="1CEF7B47">
      <w:pPr>
        <w:widowControl/>
        <w:adjustRightInd w:val="0"/>
        <w:snapToGrid w:val="0"/>
        <w:spacing w:line="520" w:lineRule="exact"/>
        <w:ind w:firstLine="325" w:firstLineChars="135"/>
        <w:rPr>
          <w:rFonts w:hint="eastAsia" w:ascii="仿宋" w:hAnsi="仿宋" w:eastAsia="仿宋" w:cs="仿宋"/>
          <w:b/>
          <w:bCs/>
          <w:color w:val="auto"/>
          <w:kern w:val="0"/>
        </w:rPr>
      </w:pPr>
      <w:r>
        <w:rPr>
          <w:rFonts w:hint="eastAsia" w:ascii="仿宋" w:hAnsi="仿宋" w:eastAsia="仿宋" w:cs="仿宋"/>
          <w:b/>
          <w:bCs/>
          <w:color w:val="auto"/>
          <w:kern w:val="0"/>
        </w:rPr>
        <w:t>五、采购要求</w:t>
      </w:r>
    </w:p>
    <w:p w14:paraId="157CEF43">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供应商必须能够按照现行国家行业技术标准、质量标准、技术规范进行制造或采购设备及安装。投标人应保证提供符合本技术规范书和有关标准、规范、符合本项目需求的优质产品，并对其提供的技术、设计生产、供货设备及安装的质量、安全及性能负责。</w:t>
      </w:r>
    </w:p>
    <w:p w14:paraId="6FDA75D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供应商为采购人提供产品服务，包括产品安装、维修及耗材更换等免费服务（特殊环境安装除外），以保证水质卫生安全达到国家所规定标准，如因产品质量问题造成采购人或其他第三方损失，由投标人承担相应责任及赔偿，供应商应就前述责任与赔偿义务向采购人承担连带责任。</w:t>
      </w:r>
    </w:p>
    <w:p w14:paraId="75B1BE0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3.供应商应派出身体健康并有经验的能胜任技术工作的人员承担技术服务工作，负责供货设备的安装、调试、试验、启动、试运行、验收等及前面章节所提及的内容。</w:t>
      </w:r>
    </w:p>
    <w:p w14:paraId="262DDA66">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4.供应商需将主机设备的用户手册、保修手册、合格证等相关资料和随机文件全部移交给采购人。</w:t>
      </w:r>
    </w:p>
    <w:p w14:paraId="64F6B072">
      <w:pPr>
        <w:widowControl/>
        <w:adjustRightInd w:val="0"/>
        <w:snapToGrid w:val="0"/>
        <w:spacing w:line="520" w:lineRule="exact"/>
        <w:ind w:firstLine="325" w:firstLineChars="135"/>
        <w:rPr>
          <w:rFonts w:hint="eastAsia" w:ascii="仿宋" w:hAnsi="仿宋" w:eastAsia="仿宋" w:cs="仿宋"/>
          <w:b/>
          <w:bCs/>
          <w:color w:val="auto"/>
          <w:kern w:val="0"/>
        </w:rPr>
      </w:pPr>
      <w:r>
        <w:rPr>
          <w:rFonts w:hint="eastAsia" w:ascii="仿宋" w:hAnsi="仿宋" w:eastAsia="仿宋" w:cs="仿宋"/>
          <w:b/>
          <w:bCs/>
          <w:color w:val="auto"/>
          <w:kern w:val="0"/>
        </w:rPr>
        <w:t>六、质量要求</w:t>
      </w:r>
    </w:p>
    <w:p w14:paraId="46EC021C">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投标人所提供的设备，各项指标必须符合国家质量合格标准。投标人须保证所投产品均为全新、未使用过的产品。供货时，向采购人提供所投产品生产厂家出具的检测报告等质量证明文件。项目验收后合格资料出具之日起，提供1年质保服务；质保期内用户正常使用引发的设备故障，中标单位免费维修直至更换；质保期外用户正常使用引发的设备故障，中标单位免费维修或更换，只收取设备或材料的成本价，设备或材料的价格不能超过同期市场价格。</w:t>
      </w:r>
    </w:p>
    <w:p w14:paraId="08125D24">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质保期内须提供产品软件的升级更新服务、备品备件的更换服务；同时质保期内每台设备含1次的滤芯更换服务，滤芯更换完成后由具备水质检测资质单位进行检测，并出具检测报告，要求水质符合CJ94-2005《饮用净水水质标准》，报告中每台设备的检测内容含浑浊度、臭和味、肉眼可见物、PH值、溶解性总固体、总硬度、耗氧量、氯化物、细菌总数、总大肠菌群等不低于符合直饮水要求的11项内容。</w:t>
      </w:r>
    </w:p>
    <w:p w14:paraId="0CDC9F48">
      <w:pPr>
        <w:widowControl/>
        <w:adjustRightInd w:val="0"/>
        <w:snapToGrid w:val="0"/>
        <w:spacing w:line="520" w:lineRule="exact"/>
        <w:ind w:firstLine="325" w:firstLineChars="135"/>
        <w:rPr>
          <w:rFonts w:hint="eastAsia" w:ascii="仿宋" w:hAnsi="仿宋" w:eastAsia="仿宋" w:cs="仿宋"/>
          <w:b/>
          <w:bCs/>
          <w:color w:val="auto"/>
          <w:kern w:val="0"/>
        </w:rPr>
      </w:pPr>
      <w:r>
        <w:rPr>
          <w:rFonts w:hint="eastAsia" w:ascii="仿宋" w:hAnsi="仿宋" w:eastAsia="仿宋" w:cs="仿宋"/>
          <w:b/>
          <w:bCs/>
          <w:color w:val="auto"/>
          <w:kern w:val="0"/>
        </w:rPr>
        <w:t>七、后续运营维护、升级更新、备品备件等要求</w:t>
      </w:r>
    </w:p>
    <w:p w14:paraId="45A7A27F">
      <w:pPr>
        <w:pStyle w:val="4"/>
        <w:spacing w:before="197" w:line="219" w:lineRule="auto"/>
        <w:ind w:left="784"/>
        <w:rPr>
          <w:rFonts w:hint="eastAsia" w:ascii="仿宋" w:hAnsi="仿宋" w:eastAsia="仿宋" w:cs="仿宋"/>
          <w:color w:val="auto"/>
          <w:kern w:val="2"/>
          <w:sz w:val="24"/>
        </w:rPr>
      </w:pPr>
      <w:r>
        <w:rPr>
          <w:rFonts w:hint="eastAsia" w:ascii="仿宋" w:hAnsi="仿宋" w:eastAsia="仿宋" w:cs="仿宋"/>
          <w:color w:val="auto"/>
          <w:kern w:val="2"/>
          <w:sz w:val="24"/>
        </w:rPr>
        <w:t>1.直饮水机设备</w:t>
      </w:r>
    </w:p>
    <w:p w14:paraId="5E2F751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根据国家对相关电子产品保修期的规定，相关产品生产者再应保证产品停产后5年内继续提供符合技术要求的零部件，本项目的产品维保期为8年（不含1年质保期），维保期内须提供产品软件的升级更新服务、备品备件的更换服务；同时每年须进行3次的滤芯更换，滤芯更换完成后由具备水质检测资质单位进行检测，并出具检测报告，要求水质符合CJ94-2005《饮用净水水质标准》，报告中每台设备的检测内容含浑浊度、臭和味、肉眼可见物、PH值、溶解性总固体、总硬度、耗氧量、氯化物、细菌总数、总大肠菌群等不低于符合直饮水要求的11项内容。</w:t>
      </w:r>
    </w:p>
    <w:p w14:paraId="6C1292D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每年3次的滤芯更换须在学校春秋季开校前完成，并向学校相关部门提交合格的水质检测报告，水质检测的费用由维保单位承担。水质检测抽样过程须在采购人监督见证的情况下进行。</w:t>
      </w:r>
    </w:p>
    <w:p w14:paraId="21E59A8D">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2.维保要求</w:t>
      </w:r>
    </w:p>
    <w:p w14:paraId="00E799A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（1）维保期内成交供应商须对每台直饮水机设备维保。</w:t>
      </w:r>
    </w:p>
    <w:p w14:paraId="7D3045D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维保期内每台设备每年维保至少三次，直饮水机每台每次维保费用不超过800元，合计每台每年维护费用不超过2400元（含五级滤）。每年维保费总额用包含饮水机的各种易损件、滤芯耗材、各类配件、上门服务工时费、税费等全部费用，不再单独收取各种易损件、滤芯耗材、各类配件、上门服务工时费，釆取按年包干制服务。投标人结合实际情况，按照单次维保服务综合考虑报价。维保期内的维保费用按照实际维护次数单独结算。</w:t>
      </w:r>
    </w:p>
    <w:p w14:paraId="2DA02C21">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3.后续运营维护服务要求</w:t>
      </w:r>
    </w:p>
    <w:p w14:paraId="2501975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（1）定期检查检测直饮水设备水质，及时维护保养，更换滤芯。确保设备正常运转，水质达到国家安全标准，并定期跟踪回访。</w:t>
      </w:r>
    </w:p>
    <w:p w14:paraId="6C74AA3F">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（2）供应商每年应按要求更换滤芯，在接到甲方的服务通知后立即响应三个工作日内解决，逾期未排除故障的，供应商为甲方安装备用机。</w:t>
      </w:r>
    </w:p>
    <w:p w14:paraId="1D3E4F24">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八、质保期要求</w:t>
      </w:r>
    </w:p>
    <w:p w14:paraId="502E770E">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1.质保期：自验收合格之日起1年。</w:t>
      </w:r>
    </w:p>
    <w:p w14:paraId="48435D30">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2.保修期内提供全免费维修更换，保修期后只能收取维修材料成本费，终身负责维修维护。（易损件除外）</w:t>
      </w:r>
    </w:p>
    <w:p w14:paraId="2C106FBB">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3.质保期外，供应商需提供产品的技术咨询服务。</w:t>
      </w:r>
    </w:p>
    <w:p w14:paraId="410ADD59">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九、售后服务</w:t>
      </w:r>
    </w:p>
    <w:p w14:paraId="43348316">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1.上门服务保修，一切费用由中标人承担。</w:t>
      </w:r>
    </w:p>
    <w:p w14:paraId="673CC904">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投标人应为本项目提供“7×24”的电话支持技术服务，必要时提供现场服务；对所售产品定期回访查看使用情况，及时了解采购人使用意见和要求。质保期内产品出现质量问题或使用问题时，供应商应保证1小时内响应，48小时内解决，若48小时内无法修复的，须在72小时内免费更换；</w:t>
      </w:r>
    </w:p>
    <w:p w14:paraId="283A9A44">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提供完整的人员培训计划，培训内容充实，安排合理；对使用单位操作人员进行日常使用培训，讲解使用要领，传授维护保养知识，及时移交产品的维修各项资料。接到报修电话后1小时内响应，2小时内使维修服务人员到达现场排除故障，并随时接受使用人员的咨询。</w:t>
      </w:r>
    </w:p>
    <w:p w14:paraId="5D1C68E3">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十、完成期限</w:t>
      </w:r>
    </w:p>
    <w:p w14:paraId="254BFC3A">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签订合同后15个日历天内。</w:t>
      </w:r>
    </w:p>
    <w:p w14:paraId="356C9C82">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十一、付款方式</w:t>
      </w:r>
    </w:p>
    <w:p w14:paraId="6CDDA0FF">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1.中标人完成项目全部供货内容经采购方验收合格并交付采购方后，采购方向中标人支付本合同约定费用总额的95%。</w:t>
      </w:r>
    </w:p>
    <w:p w14:paraId="1CF478BA">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2.一年保修期后，采购方向中标人支付本合同约定费用总额的5%。</w:t>
      </w:r>
    </w:p>
    <w:p w14:paraId="1D3D0C3A">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中标人应在采购方付款前按采购方要求向采购方出具增值税普通发票，采购方在收到中标人出具的发票且核验无误后，按上述约定向中标人付款。因中标人发票原因导致采购方迟延付款的，采购方不构成违约，中标人对此予以确认。</w:t>
      </w:r>
    </w:p>
    <w:p w14:paraId="5899EB7E">
      <w:pPr>
        <w:spacing w:line="520" w:lineRule="exact"/>
        <w:ind w:firstLine="482" w:firstLineChars="200"/>
        <w:rPr>
          <w:rFonts w:hint="eastAsia" w:ascii="仿宋" w:hAnsi="仿宋" w:eastAsia="仿宋" w:cs="仿宋"/>
          <w:b/>
          <w:color w:val="auto"/>
        </w:rPr>
      </w:pPr>
      <w:r>
        <w:rPr>
          <w:rFonts w:hint="eastAsia" w:ascii="仿宋" w:hAnsi="仿宋" w:eastAsia="仿宋" w:cs="仿宋"/>
          <w:b/>
          <w:color w:val="auto"/>
        </w:rPr>
        <w:t>十二、验收要求</w:t>
      </w:r>
    </w:p>
    <w:p w14:paraId="512D6B4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所有服务完成后，由二级学校根据招标内容中技术参数的各项、磋商响应性文件的参数响应情况及合同进行初步验收，并出具初验报告，再由学校组织有关专家进行全面验收。所有成果符合磋商文件要求及成交人磋商响应性文件承诺后，验收小组出具《项目验收报告》。</w:t>
      </w:r>
    </w:p>
    <w:p w14:paraId="16CFAF71">
      <w:pPr>
        <w:spacing w:line="520" w:lineRule="exact"/>
        <w:ind w:firstLine="480" w:firstLineChars="200"/>
        <w:rPr>
          <w:rFonts w:hint="eastAsia" w:ascii="仿宋" w:hAnsi="仿宋" w:eastAsia="仿宋" w:cs="仿宋"/>
          <w:color w:val="auto"/>
          <w:lang w:val="en-US"/>
        </w:rPr>
      </w:pPr>
      <w:r>
        <w:rPr>
          <w:rFonts w:hint="eastAsia" w:ascii="仿宋" w:hAnsi="仿宋" w:eastAsia="仿宋" w:cs="仿宋"/>
          <w:color w:val="auto"/>
        </w:rPr>
        <w:t>2.验收时产生的相关费用及问题均由成交人自行解决，直至验收成功。请投标人认真阅读《磋商文件》，如果投标人隐瞒事实、伪造证明材料，对招标技术、售后服务等要求提供虚假资料及承诺，虚假应标并中标的，在验收过程中一旦发现，合同立即终止，并承担一切后果。</w:t>
      </w:r>
    </w:p>
    <w:p w14:paraId="08D919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2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普通正文"/>
    <w:basedOn w:val="1"/>
    <w:qFormat/>
    <w:uiPriority w:val="0"/>
    <w:pPr>
      <w:spacing w:before="120" w:after="120" w:line="360" w:lineRule="auto"/>
      <w:ind w:firstLine="480"/>
      <w:jc w:val="left"/>
    </w:pPr>
    <w:rPr>
      <w:rFonts w:ascii="Arial" w:hAnsi="Arial"/>
      <w:sz w:val="24"/>
    </w:rPr>
  </w:style>
  <w:style w:type="paragraph" w:styleId="3">
    <w:name w:val="toa heading"/>
    <w:basedOn w:val="1"/>
    <w:next w:val="1"/>
    <w:qFormat/>
    <w:uiPriority w:val="0"/>
    <w:pPr>
      <w:spacing w:before="120"/>
    </w:pPr>
    <w:rPr>
      <w:rFonts w:ascii="Arial" w:hAnsi="Arial" w:cs="Arial"/>
    </w:rPr>
  </w:style>
  <w:style w:type="paragraph" w:styleId="4">
    <w:name w:val="Body Text"/>
    <w:basedOn w:val="1"/>
    <w:qFormat/>
    <w:uiPriority w:val="0"/>
    <w:pPr>
      <w:snapToGrid w:val="0"/>
      <w:spacing w:line="300" w:lineRule="auto"/>
    </w:pPr>
    <w:rPr>
      <w:rFonts w:eastAsia="宋体"/>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2025-08-01T11:46:43Z</dcterms:created>
  <dc:creator>Fender</dc:creator>
  <cp:lastModifiedBy>WPS_1717382962</cp:lastModifiedBy>
  <dcterms:modified xsi:type="dcterms:W3CDTF">2025-08-01T11:47:12Z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eyJoZGlkIjoiZjQ4MDJjZjUwYzQyODA1NjI3NzM0OWUzMmZiYTIzNWUiLCJ1c2VySWQiOiIxNjAzNjg4NzI3In0=</vt:lpwstr>
  </property>
  <property fmtid="{D5CDD505-2E9C-101B-9397-08002B2CF9AE}" pid="4" name="ICV">
    <vt:lpwstr>B77EC7764BE5458B90AA71D5D6C6102B_12</vt:lpwstr>
  </property>
</Properties>
</file>