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23BE8">
      <w:pPr>
        <w:keepNext w:val="0"/>
        <w:keepLines w:val="0"/>
        <w:pageBreakBefore w:val="0"/>
        <w:widowControl/>
        <w:kinsoku/>
        <w:wordWrap/>
        <w:overflowPunct/>
        <w:topLinePunct w:val="0"/>
        <w:autoSpaceDE/>
        <w:autoSpaceDN/>
        <w:bidi w:val="0"/>
        <w:adjustRightInd w:val="0"/>
        <w:snapToGrid w:val="0"/>
        <w:spacing w:line="440" w:lineRule="exact"/>
        <w:ind w:firstLine="434" w:firstLineChars="135"/>
        <w:jc w:val="center"/>
        <w:textAlignment w:val="auto"/>
        <w:rPr>
          <w:rFonts w:hint="eastAsia" w:ascii="仿宋" w:hAnsi="仿宋" w:eastAsia="仿宋" w:cs="仿宋"/>
          <w:b/>
          <w:bCs/>
          <w:color w:val="auto"/>
          <w:kern w:val="0"/>
          <w:sz w:val="32"/>
          <w:szCs w:val="32"/>
          <w:lang w:val="en-US" w:eastAsia="zh-CN"/>
        </w:rPr>
      </w:pPr>
      <w:r>
        <w:rPr>
          <w:rFonts w:hint="eastAsia" w:ascii="仿宋" w:hAnsi="仿宋" w:cs="仿宋"/>
          <w:b/>
          <w:bCs/>
          <w:color w:val="auto"/>
          <w:kern w:val="0"/>
          <w:sz w:val="32"/>
          <w:szCs w:val="32"/>
          <w:lang w:val="en-US" w:eastAsia="zh-CN"/>
        </w:rPr>
        <w:t>采购内容</w:t>
      </w:r>
    </w:p>
    <w:p w14:paraId="5A4C1865">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color w:val="auto"/>
          <w:spacing w:val="-20"/>
          <w:kern w:val="0"/>
          <w:lang w:eastAsia="zh-CN"/>
        </w:rPr>
      </w:pPr>
      <w:r>
        <w:rPr>
          <w:rFonts w:hint="eastAsia" w:ascii="仿宋" w:hAnsi="仿宋" w:eastAsia="仿宋" w:cs="仿宋"/>
          <w:b/>
          <w:bCs/>
          <w:color w:val="auto"/>
          <w:kern w:val="0"/>
        </w:rPr>
        <w:t>一、项目名称：</w:t>
      </w:r>
      <w:r>
        <w:rPr>
          <w:rFonts w:hint="eastAsia" w:ascii="仿宋" w:hAnsi="仿宋" w:eastAsia="仿宋" w:cs="仿宋"/>
          <w:bCs/>
          <w:color w:val="auto"/>
          <w:kern w:val="0"/>
          <w:lang w:eastAsia="zh-CN"/>
        </w:rPr>
        <w:t>酒泉职业技术大学神州居、揽月居直饮水机采购项目</w:t>
      </w:r>
    </w:p>
    <w:p w14:paraId="48F247CF">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color w:val="auto"/>
          <w:kern w:val="0"/>
          <w:lang w:eastAsia="zh-CN"/>
        </w:rPr>
      </w:pPr>
      <w:r>
        <w:rPr>
          <w:rFonts w:hint="eastAsia" w:ascii="仿宋" w:hAnsi="仿宋" w:eastAsia="仿宋" w:cs="仿宋"/>
          <w:b/>
          <w:bCs/>
          <w:color w:val="auto"/>
          <w:kern w:val="0"/>
        </w:rPr>
        <w:t>二、项目编号：</w:t>
      </w:r>
      <w:r>
        <w:rPr>
          <w:rFonts w:hint="eastAsia" w:ascii="仿宋" w:hAnsi="仿宋" w:eastAsia="仿宋" w:cs="仿宋"/>
          <w:bCs/>
          <w:color w:val="auto"/>
          <w:kern w:val="0"/>
          <w:lang w:eastAsia="zh-CN"/>
        </w:rPr>
        <w:t>GTF-ZFCG[2025]06号</w:t>
      </w:r>
    </w:p>
    <w:p w14:paraId="355E51A8">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b/>
          <w:bCs w:val="0"/>
          <w:color w:val="auto"/>
          <w:kern w:val="0"/>
          <w:lang w:eastAsia="zh-CN"/>
        </w:rPr>
      </w:pPr>
      <w:r>
        <w:rPr>
          <w:rFonts w:hint="eastAsia" w:ascii="仿宋" w:hAnsi="仿宋" w:eastAsia="仿宋" w:cs="仿宋"/>
          <w:b/>
          <w:bCs w:val="0"/>
          <w:color w:val="auto"/>
          <w:kern w:val="0"/>
          <w:lang w:eastAsia="zh-CN"/>
        </w:rPr>
        <w:t>三、预算资金：</w:t>
      </w:r>
    </w:p>
    <w:p w14:paraId="57F02B37">
      <w:pPr>
        <w:keepNext w:val="0"/>
        <w:keepLines w:val="0"/>
        <w:pageBreakBefore w:val="0"/>
        <w:widowControl/>
        <w:kinsoku/>
        <w:wordWrap/>
        <w:overflowPunct/>
        <w:topLinePunct w:val="0"/>
        <w:autoSpaceDE/>
        <w:autoSpaceDN/>
        <w:bidi w:val="0"/>
        <w:adjustRightInd w:val="0"/>
        <w:snapToGrid w:val="0"/>
        <w:spacing w:line="440" w:lineRule="exact"/>
        <w:ind w:firstLine="324" w:firstLineChars="135"/>
        <w:textAlignment w:val="auto"/>
        <w:rPr>
          <w:rFonts w:hint="eastAsia" w:ascii="仿宋" w:hAnsi="仿宋" w:eastAsia="仿宋" w:cs="仿宋"/>
          <w:bCs/>
          <w:color w:val="auto"/>
          <w:kern w:val="0"/>
          <w:lang w:eastAsia="zh-CN"/>
        </w:rPr>
      </w:pPr>
      <w:r>
        <w:rPr>
          <w:rFonts w:hint="eastAsia" w:ascii="仿宋" w:hAnsi="仿宋" w:eastAsia="仿宋" w:cs="仿宋"/>
          <w:bCs/>
          <w:color w:val="auto"/>
          <w:kern w:val="0"/>
          <w:lang w:eastAsia="zh-CN"/>
        </w:rPr>
        <w:t>（一）直饮水机采购预算金额：小写：¥107580.00元，大写：人民币壹拾万零柒仟伍佰捌拾元整；</w:t>
      </w:r>
    </w:p>
    <w:p w14:paraId="682972A1">
      <w:pPr>
        <w:keepNext w:val="0"/>
        <w:keepLines w:val="0"/>
        <w:pageBreakBefore w:val="0"/>
        <w:widowControl/>
        <w:kinsoku/>
        <w:wordWrap/>
        <w:overflowPunct/>
        <w:topLinePunct w:val="0"/>
        <w:autoSpaceDE/>
        <w:autoSpaceDN/>
        <w:bidi w:val="0"/>
        <w:adjustRightInd w:val="0"/>
        <w:snapToGrid w:val="0"/>
        <w:spacing w:line="440" w:lineRule="exact"/>
        <w:ind w:firstLine="324" w:firstLineChars="135"/>
        <w:textAlignment w:val="auto"/>
        <w:rPr>
          <w:rFonts w:hint="eastAsia" w:ascii="仿宋" w:hAnsi="仿宋" w:eastAsia="仿宋" w:cs="仿宋"/>
          <w:bCs/>
          <w:color w:val="auto"/>
          <w:kern w:val="0"/>
          <w:lang w:eastAsia="zh-CN"/>
        </w:rPr>
      </w:pPr>
      <w:r>
        <w:rPr>
          <w:rFonts w:hint="eastAsia" w:ascii="仿宋" w:hAnsi="仿宋" w:eastAsia="仿宋" w:cs="仿宋"/>
          <w:bCs/>
          <w:color w:val="auto"/>
          <w:kern w:val="0"/>
          <w:lang w:eastAsia="zh-CN"/>
        </w:rPr>
        <w:t>（二）维保期内每台设备每年维保至少三次，直饮水机每台每次维保费用不超过800元，合计每台每年维护费用不超过2400元（含五级滤）。</w:t>
      </w:r>
    </w:p>
    <w:p w14:paraId="0A7AF3DA">
      <w:pPr>
        <w:keepNext w:val="0"/>
        <w:keepLines w:val="0"/>
        <w:pageBreakBefore w:val="0"/>
        <w:widowControl/>
        <w:kinsoku/>
        <w:wordWrap/>
        <w:overflowPunct/>
        <w:topLinePunct w:val="0"/>
        <w:autoSpaceDE/>
        <w:autoSpaceDN/>
        <w:bidi w:val="0"/>
        <w:adjustRightInd w:val="0"/>
        <w:snapToGrid w:val="0"/>
        <w:spacing w:line="440" w:lineRule="exact"/>
        <w:ind w:firstLine="325" w:firstLineChars="135"/>
        <w:textAlignment w:val="auto"/>
        <w:rPr>
          <w:rFonts w:hint="eastAsia" w:ascii="仿宋" w:hAnsi="仿宋" w:eastAsia="仿宋" w:cs="仿宋"/>
          <w:bCs/>
          <w:color w:val="auto"/>
          <w:kern w:val="0"/>
          <w:lang w:eastAsia="zh-CN"/>
        </w:rPr>
      </w:pPr>
      <w:r>
        <w:rPr>
          <w:rFonts w:hint="eastAsia" w:ascii="仿宋" w:hAnsi="仿宋" w:eastAsia="仿宋" w:cs="仿宋"/>
          <w:b/>
          <w:bCs w:val="0"/>
          <w:color w:val="auto"/>
          <w:kern w:val="0"/>
          <w:lang w:eastAsia="zh-CN"/>
        </w:rPr>
        <w:t>四、采购内容：</w:t>
      </w:r>
      <w:r>
        <w:rPr>
          <w:rFonts w:hint="eastAsia" w:ascii="仿宋" w:hAnsi="仿宋" w:eastAsia="仿宋" w:cs="仿宋"/>
          <w:bCs/>
          <w:color w:val="auto"/>
          <w:kern w:val="0"/>
          <w:lang w:eastAsia="zh-CN"/>
        </w:rPr>
        <w:t>对酒泉职业技术大学神州居、揽月居直饮水机进行购置。（详见下表购置清单）</w:t>
      </w:r>
    </w:p>
    <w:p w14:paraId="34199E8A">
      <w:pPr>
        <w:widowControl/>
        <w:jc w:val="center"/>
        <w:textAlignment w:val="center"/>
        <w:rPr>
          <w:rFonts w:hint="eastAsia" w:ascii="仿宋" w:hAnsi="仿宋" w:eastAsia="仿宋" w:cs="仿宋"/>
          <w:b/>
          <w:bCs/>
          <w:color w:val="auto"/>
        </w:rPr>
      </w:pPr>
      <w:r>
        <w:rPr>
          <w:rFonts w:hint="eastAsia" w:ascii="仿宋" w:hAnsi="仿宋" w:eastAsia="仿宋" w:cs="仿宋"/>
          <w:b/>
          <w:bCs/>
          <w:color w:val="auto"/>
          <w:kern w:val="0"/>
          <w:lang w:eastAsia="zh-CN" w:bidi="ar"/>
        </w:rPr>
        <w:t>酒泉职业技术大学神州居、揽月居直饮水机采购项目</w:t>
      </w:r>
      <w:r>
        <w:rPr>
          <w:rFonts w:hint="eastAsia" w:ascii="仿宋" w:hAnsi="仿宋" w:eastAsia="仿宋" w:cs="仿宋"/>
          <w:b/>
          <w:bCs/>
          <w:color w:val="auto"/>
          <w:kern w:val="0"/>
          <w:lang w:bidi="ar"/>
        </w:rPr>
        <w:t>购置清单</w:t>
      </w:r>
    </w:p>
    <w:tbl>
      <w:tblPr>
        <w:tblStyle w:val="5"/>
        <w:tblW w:w="9624" w:type="dxa"/>
        <w:jc w:val="center"/>
        <w:tblLayout w:type="fixed"/>
        <w:tblCellMar>
          <w:top w:w="0" w:type="dxa"/>
          <w:left w:w="108" w:type="dxa"/>
          <w:bottom w:w="0" w:type="dxa"/>
          <w:right w:w="108" w:type="dxa"/>
        </w:tblCellMar>
      </w:tblPr>
      <w:tblGrid>
        <w:gridCol w:w="457"/>
        <w:gridCol w:w="552"/>
        <w:gridCol w:w="6012"/>
        <w:gridCol w:w="658"/>
        <w:gridCol w:w="1391"/>
        <w:gridCol w:w="554"/>
      </w:tblGrid>
      <w:tr w14:paraId="127DBD4B">
        <w:tblPrEx>
          <w:tblCellMar>
            <w:top w:w="0" w:type="dxa"/>
            <w:left w:w="108" w:type="dxa"/>
            <w:bottom w:w="0" w:type="dxa"/>
            <w:right w:w="108" w:type="dxa"/>
          </w:tblCellMar>
        </w:tblPrEx>
        <w:trPr>
          <w:trHeight w:val="618"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AC70">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FAD9">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名称</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1052">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主要参数要求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5EAF">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数量(台)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AF2">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参考图片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98B">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用途</w:t>
            </w:r>
          </w:p>
        </w:tc>
      </w:tr>
      <w:tr w14:paraId="42D20AF9">
        <w:tblPrEx>
          <w:tblCellMar>
            <w:top w:w="0" w:type="dxa"/>
            <w:left w:w="108" w:type="dxa"/>
            <w:bottom w:w="0" w:type="dxa"/>
            <w:right w:w="108" w:type="dxa"/>
          </w:tblCellMar>
        </w:tblPrEx>
        <w:trPr>
          <w:trHeight w:val="834"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EB4">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E86C">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直饮水机</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10C2">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1.出水量：开水≥90L/h</w:t>
            </w:r>
          </w:p>
          <w:p w14:paraId="1D893A5B">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 xml:space="preserve">          直饮水≥70L/h</w:t>
            </w:r>
          </w:p>
          <w:p w14:paraId="3B98DF12">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2.加热内胆≥70升（提供与投标产品型号一致的整机《涉及饮用水卫生安全产品卫生许可批件》复印件做为依据，证件内须注明加热内胆容量）；</w:t>
            </w:r>
          </w:p>
          <w:p w14:paraId="6CD7084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3.电源/功率：380V/50Hz，6KW（提供与投标产品型号一致的整机CQC产品认证证书复印件，证件内须注明电源/功率）；</w:t>
            </w:r>
          </w:p>
          <w:p w14:paraId="21E770C3">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4.出水方式：两龙头，一开水，一常温纯净水；互联网式水控系统（一开一直饮水），龙头采用无铅材质，增加量≦0.001mg/L（提供与投标产品制造商的无铅龙头检测报告，且须提供全国认证认可信息公共服务平台官网http://cx.cnca.cn/查询截图）；</w:t>
            </w:r>
          </w:p>
          <w:p w14:paraId="48DC0F6A">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5.柜式一体式饮水设备外形尺寸（长×宽×高）：62*47*177cm（±5%）（提供投标产品参 数说明或彩页等证明材料）；</w:t>
            </w:r>
          </w:p>
          <w:p w14:paraId="0D77F46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6.过滤配置：不低于5级反渗透过滤（PP棉滤芯+活性炭+PP棉活性炭棒复合滤芯+RO反渗透膜滤芯），净水流量≥1.05L/min，额定净水量≥10000L（提供与投标产品型号一致的整机《涉及饮用水卫生安全产品卫生许可批件》复印件，证件内须注明过滤配置，净水流量和额定净水量）；</w:t>
            </w:r>
          </w:p>
          <w:p w14:paraId="7647E390">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7.配备纯水储水装置≥15L（提供与投标产品型号一致的整机《涉及饮用水卫生安全产品卫生许可批件》复印件做为依据，证件内须注明纯水储水装置容量）；</w:t>
            </w:r>
          </w:p>
          <w:p w14:paraId="10601707">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8、具有节水功能，净水产水量≥65%，水效等级1级（提供与投标产品型号一致的中国水效标识图以及中国水效标识网产品备案信息公示查询截图）</w:t>
            </w:r>
          </w:p>
          <w:p w14:paraId="2D57D3FF">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9.采用步进式加热技术，逐层加热逐层补水，进水时具有电磁阀控制，冷热水分离一次沸腾，避免混合水和千沸水，确保用水卫生和减少能源浪费。（提供投标产品制造商获得国家质监、科技或知识产权部门颁发的证明文件复印件以作证明）；</w:t>
            </w:r>
          </w:p>
          <w:p w14:paraId="4AFB3E88">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10.采用滤芯射频感应功能：滤芯射频感应功能，具有滤芯真伪识别、使用寿命提醒功能，保证水质卫生安全（提供投标产品制造商获得国家质检、科技或知识产权部门颁发的证明文件复印件以作证明）；</w:t>
            </w:r>
          </w:p>
          <w:p w14:paraId="190C7817">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11.采用微电压无腐蚀电极，解决电极腐蚀问题（提供投标产品制造商获得国家质检、科技或知识产权部门颁发的证明文件复印件以作证明）；</w:t>
            </w:r>
          </w:p>
          <w:p w14:paraId="0D62C6F9">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12.具有智能水控系统，水不开,则无水流出，避免饮用生水，触摸开关，使用更方便。</w:t>
            </w:r>
          </w:p>
          <w:p w14:paraId="7AE5521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13.智能定时、自带遥控、（可选配自动消毒、隔夜排空），设有液晶中文显示屏，显示包含但不限于以下内容：温度、时间、饮水机运行技术参数、故障代码或中文报警显示。</w:t>
            </w:r>
          </w:p>
          <w:p w14:paraId="7DD43234">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14.全圆弧无尖角设计；防漏电低压24伏设计；制作完全符合CQC质量安全认证要求。</w:t>
            </w:r>
          </w:p>
          <w:p w14:paraId="76E33AA5">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15.节能技术：采用饮水机用高效热交换器技术，内外管均采用304不锈钢波纹管，高效节能，节能80%以上，水温调控不得采用原水或经过净化的原水和开水直接混合方式。</w:t>
            </w:r>
          </w:p>
          <w:p w14:paraId="6DBAC261">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16.可防爆、防触电、防渗漏、防干烧、防缺水、防超温、防火、防蒸汽，安全可靠；防触电保护I类。</w:t>
            </w:r>
          </w:p>
          <w:p w14:paraId="7E7404F7">
            <w:pPr>
              <w:wordWrap w:val="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17.电气要求：整机符合GB/T 26572-2011,6B/T 39560.301-2020,GB/T 39560.4-2021,GB/T 39560.5-2021, GB/T39560.6-2020,GB/T 39560.701-2020，GB/T 39560.702-2021.要求，符合RoHS认证（提供投标产品品牌型号一致的整机《RoHS符合性认证证书》复印件并提供全国认证认可信息公共服务平台官网http://cx.cnca.cn/查询截图）；</w:t>
            </w:r>
          </w:p>
          <w:p w14:paraId="52977B49">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18.食品卫生要求：投标产品整机均符合GB4806.11-2016；GB4806.7-2023；GB4806.9-2023要求保证出水安全（提供投标产品品牌型号一致的整机《食品接触产品安全认证证书》复印件和全国认证认可信息公共服务平台官网http://cx.cnca.cn/查询截图）；</w:t>
            </w:r>
          </w:p>
          <w:p w14:paraId="56A75B4D">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19.环保要求：整机符合GB/T24021-2024要求，通过中国环境标志产品认证（提供与投标产品型号一致的整机中国环境标志产品认证证书复印件并提供全国认证认可信息公共服务平台官网http://cx.cnca.cn/查询截图）；</w:t>
            </w:r>
          </w:p>
          <w:p w14:paraId="6D55BF5C">
            <w:pPr>
              <w:pStyle w:val="3"/>
              <w:wordWrap w:val="0"/>
              <w:spacing w:before="0"/>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20.卡机支持刷卡（所有芯片）、支付宝、微信等支付方式使用，卡机具有智能化设备管理服务系统、远程控制、智能化数据分析，支持4G互联网或蓝牙连接；收取的费用进入院方指定账户。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036D">
            <w:pPr>
              <w:wordWrap w:val="0"/>
              <w:jc w:val="center"/>
              <w:textAlignment w:val="center"/>
              <w:rPr>
                <w:rFonts w:hint="eastAsia" w:ascii="仿宋" w:hAnsi="仿宋" w:eastAsia="仿宋" w:cs="仿宋"/>
                <w:color w:val="auto"/>
                <w:sz w:val="21"/>
                <w:szCs w:val="21"/>
                <w:lang w:eastAsia="zh-CN"/>
              </w:rPr>
            </w:pPr>
            <w:r>
              <w:rPr>
                <w:rFonts w:hint="eastAsia" w:ascii="仿宋" w:hAnsi="仿宋" w:cs="仿宋"/>
                <w:color w:val="auto"/>
                <w:kern w:val="0"/>
                <w:sz w:val="21"/>
                <w:szCs w:val="21"/>
                <w:lang w:val="en-US" w:eastAsia="zh-CN" w:bidi="ar"/>
              </w:rPr>
              <w:t>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5C0F">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bdr w:val="single" w:color="000000" w:sz="4" w:space="0"/>
                <w:lang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-814705</wp:posOffset>
                  </wp:positionV>
                  <wp:extent cx="836930" cy="2472055"/>
                  <wp:effectExtent l="0" t="0" r="1270" b="12065"/>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4"/>
                          <a:stretch>
                            <a:fillRect/>
                          </a:stretch>
                        </pic:blipFill>
                        <pic:spPr>
                          <a:xfrm>
                            <a:off x="0" y="0"/>
                            <a:ext cx="836930" cy="2472055"/>
                          </a:xfrm>
                          <a:prstGeom prst="rect">
                            <a:avLst/>
                          </a:prstGeom>
                          <a:noFill/>
                          <a:ln>
                            <a:noFill/>
                          </a:ln>
                        </pic:spPr>
                      </pic:pic>
                    </a:graphicData>
                  </a:graphic>
                </wp:anchor>
              </w:drawing>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B5C">
            <w:pPr>
              <w:wordWrap w:val="0"/>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神州居、揽月居供应学生饮水</w:t>
            </w:r>
          </w:p>
        </w:tc>
      </w:tr>
    </w:tbl>
    <w:p w14:paraId="5DB764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b/>
          <w:bCs w:val="0"/>
          <w:color w:val="auto"/>
          <w:kern w:val="2"/>
          <w:sz w:val="24"/>
          <w:szCs w:val="24"/>
          <w:lang w:val="en-US" w:eastAsia="zh-CN" w:bidi="ar-SA"/>
        </w:rPr>
      </w:pPr>
      <w:r>
        <w:rPr>
          <w:rFonts w:hint="eastAsia" w:ascii="方正仿宋_GB2312" w:hAnsi="方正仿宋_GB2312" w:eastAsia="方正仿宋_GB2312" w:cs="方正仿宋_GB2312"/>
          <w:b/>
          <w:bCs w:val="0"/>
          <w:color w:val="auto"/>
          <w:kern w:val="2"/>
          <w:sz w:val="24"/>
          <w:szCs w:val="24"/>
          <w:lang w:val="en-US" w:eastAsia="zh-CN" w:bidi="ar-SA"/>
        </w:rPr>
        <w:t>神州居、揽月居直饮水机水电改造预算表</w:t>
      </w:r>
    </w:p>
    <w:tbl>
      <w:tblPr>
        <w:tblStyle w:val="5"/>
        <w:tblW w:w="5645" w:type="pct"/>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1092"/>
        <w:gridCol w:w="1267"/>
        <w:gridCol w:w="689"/>
        <w:gridCol w:w="915"/>
        <w:gridCol w:w="1092"/>
        <w:gridCol w:w="1793"/>
        <w:gridCol w:w="566"/>
        <w:gridCol w:w="1643"/>
      </w:tblGrid>
      <w:tr w14:paraId="1D53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616A4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序号</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0D01D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名称</w:t>
            </w:r>
          </w:p>
        </w:tc>
        <w:tc>
          <w:tcPr>
            <w:tcW w:w="658" w:type="pct"/>
            <w:tcBorders>
              <w:top w:val="single" w:color="000000" w:sz="4" w:space="0"/>
              <w:left w:val="single" w:color="000000" w:sz="4" w:space="0"/>
              <w:bottom w:val="single" w:color="000000" w:sz="4" w:space="0"/>
              <w:right w:val="single" w:color="000000" w:sz="4" w:space="0"/>
            </w:tcBorders>
            <w:noWrap/>
            <w:vAlign w:val="center"/>
          </w:tcPr>
          <w:p w14:paraId="49B607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颜色</w:t>
            </w:r>
          </w:p>
        </w:tc>
        <w:tc>
          <w:tcPr>
            <w:tcW w:w="358" w:type="pct"/>
            <w:tcBorders>
              <w:top w:val="single" w:color="000000" w:sz="4" w:space="0"/>
              <w:left w:val="single" w:color="000000" w:sz="4" w:space="0"/>
              <w:bottom w:val="single" w:color="000000" w:sz="4" w:space="0"/>
              <w:right w:val="single" w:color="000000" w:sz="4" w:space="0"/>
            </w:tcBorders>
            <w:noWrap/>
            <w:vAlign w:val="center"/>
          </w:tcPr>
          <w:p w14:paraId="63019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规格</w:t>
            </w:r>
          </w:p>
        </w:tc>
        <w:tc>
          <w:tcPr>
            <w:tcW w:w="475" w:type="pct"/>
            <w:tcBorders>
              <w:top w:val="single" w:color="000000" w:sz="4" w:space="0"/>
              <w:left w:val="single" w:color="000000" w:sz="4" w:space="0"/>
              <w:bottom w:val="single" w:color="000000" w:sz="4" w:space="0"/>
              <w:right w:val="single" w:color="000000" w:sz="4" w:space="0"/>
            </w:tcBorders>
            <w:noWrap/>
            <w:vAlign w:val="center"/>
          </w:tcPr>
          <w:p w14:paraId="6BDABE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产品参数</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BADCE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数量（台）</w:t>
            </w:r>
          </w:p>
        </w:tc>
        <w:tc>
          <w:tcPr>
            <w:tcW w:w="931" w:type="pct"/>
            <w:tcBorders>
              <w:top w:val="single" w:color="000000" w:sz="4" w:space="0"/>
              <w:left w:val="single" w:color="000000" w:sz="4" w:space="0"/>
              <w:bottom w:val="single" w:color="000000" w:sz="4" w:space="0"/>
              <w:right w:val="single" w:color="000000" w:sz="4" w:space="0"/>
            </w:tcBorders>
            <w:noWrap/>
            <w:vAlign w:val="center"/>
          </w:tcPr>
          <w:p w14:paraId="027386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每台使用长度（米）</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C22D3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工时</w:t>
            </w:r>
          </w:p>
        </w:tc>
        <w:tc>
          <w:tcPr>
            <w:tcW w:w="853" w:type="pct"/>
            <w:tcBorders>
              <w:top w:val="single" w:color="000000" w:sz="4" w:space="0"/>
              <w:left w:val="single" w:color="000000" w:sz="4" w:space="0"/>
              <w:bottom w:val="single" w:color="000000" w:sz="4" w:space="0"/>
              <w:right w:val="single" w:color="000000" w:sz="4" w:space="0"/>
            </w:tcBorders>
            <w:noWrap/>
            <w:vAlign w:val="center"/>
          </w:tcPr>
          <w:p w14:paraId="7C73E7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用途及备注</w:t>
            </w:r>
          </w:p>
        </w:tc>
      </w:tr>
      <w:tr w14:paraId="57A3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16A88C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96A6B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电缆</w:t>
            </w:r>
          </w:p>
        </w:tc>
        <w:tc>
          <w:tcPr>
            <w:tcW w:w="658" w:type="pct"/>
            <w:tcBorders>
              <w:top w:val="single" w:color="000000" w:sz="4" w:space="0"/>
              <w:left w:val="single" w:color="000000" w:sz="4" w:space="0"/>
              <w:bottom w:val="single" w:color="000000" w:sz="4" w:space="0"/>
              <w:right w:val="single" w:color="000000" w:sz="4" w:space="0"/>
            </w:tcBorders>
            <w:noWrap/>
            <w:vAlign w:val="center"/>
          </w:tcPr>
          <w:p w14:paraId="61B529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采购人定制色</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4F3B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bookmarkStart w:id="0" w:name="_GoBack"/>
            <w:r>
              <w:rPr>
                <w:rFonts w:hint="eastAsia" w:ascii="方正仿宋_GB2312" w:hAnsi="方正仿宋_GB2312" w:eastAsia="方正仿宋_GB2312" w:cs="方正仿宋_GB2312"/>
                <w:i w:val="0"/>
                <w:iCs w:val="0"/>
                <w:color w:val="000000"/>
                <w:kern w:val="0"/>
                <w:sz w:val="21"/>
                <w:szCs w:val="21"/>
                <w:u w:val="none"/>
                <w:lang w:val="en-US" w:eastAsia="zh-CN" w:bidi="ar"/>
              </w:rPr>
              <w:t>*</w:t>
            </w:r>
            <w:bookmarkEnd w:id="0"/>
            <w:r>
              <w:rPr>
                <w:rFonts w:hint="eastAsia" w:ascii="方正仿宋_GB2312" w:hAnsi="方正仿宋_GB2312" w:eastAsia="方正仿宋_GB2312" w:cs="方正仿宋_GB2312"/>
                <w:i w:val="0"/>
                <w:iCs w:val="0"/>
                <w:color w:val="000000"/>
                <w:kern w:val="0"/>
                <w:sz w:val="21"/>
                <w:szCs w:val="21"/>
                <w:u w:val="none"/>
                <w:lang w:val="en-US" w:eastAsia="zh-CN" w:bidi="ar"/>
              </w:rPr>
              <w:t>4+2铜芯电缆</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0D85C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3*4+2铜芯电缆</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3447B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w:t>
            </w:r>
          </w:p>
        </w:tc>
        <w:tc>
          <w:tcPr>
            <w:tcW w:w="931" w:type="pct"/>
            <w:tcBorders>
              <w:top w:val="single" w:color="000000" w:sz="4" w:space="0"/>
              <w:left w:val="single" w:color="000000" w:sz="4" w:space="0"/>
              <w:bottom w:val="single" w:color="000000" w:sz="4" w:space="0"/>
              <w:right w:val="single" w:color="000000" w:sz="4" w:space="0"/>
            </w:tcBorders>
            <w:noWrap/>
            <w:vAlign w:val="center"/>
          </w:tcPr>
          <w:p w14:paraId="3938F8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80</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4C77F19">
            <w:pPr>
              <w:jc w:val="center"/>
              <w:rPr>
                <w:rFonts w:hint="eastAsia" w:ascii="方正仿宋_GB2312" w:hAnsi="方正仿宋_GB2312" w:eastAsia="方正仿宋_GB2312" w:cs="方正仿宋_GB2312"/>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51095E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神州居从配电箱接电使用</w:t>
            </w:r>
          </w:p>
        </w:tc>
      </w:tr>
      <w:tr w14:paraId="5564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07CB59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2</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0E25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电缆</w:t>
            </w:r>
          </w:p>
        </w:tc>
        <w:tc>
          <w:tcPr>
            <w:tcW w:w="658" w:type="pct"/>
            <w:tcBorders>
              <w:top w:val="single" w:color="000000" w:sz="4" w:space="0"/>
              <w:left w:val="single" w:color="000000" w:sz="4" w:space="0"/>
              <w:bottom w:val="single" w:color="000000" w:sz="4" w:space="0"/>
              <w:right w:val="single" w:color="000000" w:sz="4" w:space="0"/>
            </w:tcBorders>
            <w:noWrap/>
            <w:vAlign w:val="center"/>
          </w:tcPr>
          <w:p w14:paraId="25D45C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采购人定制色</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702D0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3*4+2铜芯电缆</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CD0BC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3*4+2铜芯电缆</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D9AD2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p>
        </w:tc>
        <w:tc>
          <w:tcPr>
            <w:tcW w:w="931" w:type="pct"/>
            <w:tcBorders>
              <w:top w:val="single" w:color="000000" w:sz="4" w:space="0"/>
              <w:left w:val="single" w:color="000000" w:sz="4" w:space="0"/>
              <w:bottom w:val="single" w:color="000000" w:sz="4" w:space="0"/>
              <w:right w:val="single" w:color="000000" w:sz="4" w:space="0"/>
            </w:tcBorders>
            <w:noWrap/>
            <w:vAlign w:val="center"/>
          </w:tcPr>
          <w:p w14:paraId="1260AE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30</w:t>
            </w: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7E13AAA2">
            <w:pPr>
              <w:jc w:val="center"/>
              <w:rPr>
                <w:rFonts w:hint="eastAsia" w:ascii="方正仿宋_GB2312" w:hAnsi="方正仿宋_GB2312" w:eastAsia="方正仿宋_GB2312" w:cs="方正仿宋_GB2312"/>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72D100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揽月居从配电箱接电使用</w:t>
            </w:r>
          </w:p>
        </w:tc>
      </w:tr>
      <w:tr w14:paraId="1B7B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209CBF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94AD8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漏电保护器</w:t>
            </w:r>
          </w:p>
        </w:tc>
        <w:tc>
          <w:tcPr>
            <w:tcW w:w="658" w:type="pct"/>
            <w:tcBorders>
              <w:top w:val="single" w:color="000000" w:sz="4" w:space="0"/>
              <w:left w:val="single" w:color="000000" w:sz="4" w:space="0"/>
              <w:bottom w:val="single" w:color="000000" w:sz="4" w:space="0"/>
              <w:right w:val="single" w:color="000000" w:sz="4" w:space="0"/>
            </w:tcBorders>
            <w:noWrap/>
            <w:vAlign w:val="center"/>
          </w:tcPr>
          <w:p w14:paraId="5EB469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采购人定制色</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78505F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3p+1 40A漏电保护器</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052D3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3p+1 40A漏电保护器</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9E3EA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931" w:type="pct"/>
            <w:tcBorders>
              <w:top w:val="single" w:color="000000" w:sz="4" w:space="0"/>
              <w:left w:val="single" w:color="000000" w:sz="4" w:space="0"/>
              <w:bottom w:val="single" w:color="000000" w:sz="4" w:space="0"/>
              <w:right w:val="single" w:color="000000" w:sz="4" w:space="0"/>
            </w:tcBorders>
            <w:noWrap/>
            <w:vAlign w:val="center"/>
          </w:tcPr>
          <w:p w14:paraId="7A0C7253">
            <w:pPr>
              <w:jc w:val="center"/>
              <w:rPr>
                <w:rFonts w:hint="eastAsia" w:ascii="方正仿宋_GB2312" w:hAnsi="方正仿宋_GB2312" w:eastAsia="方正仿宋_GB2312" w:cs="方正仿宋_GB2312"/>
                <w:i w:val="0"/>
                <w:iCs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noWrap/>
            <w:vAlign w:val="center"/>
          </w:tcPr>
          <w:p w14:paraId="56015037">
            <w:pPr>
              <w:jc w:val="center"/>
              <w:rPr>
                <w:rFonts w:hint="eastAsia" w:ascii="方正仿宋_GB2312" w:hAnsi="方正仿宋_GB2312" w:eastAsia="方正仿宋_GB2312" w:cs="方正仿宋_GB2312"/>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1424FA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神州揽月共9台</w:t>
            </w:r>
          </w:p>
        </w:tc>
      </w:tr>
      <w:tr w14:paraId="0DD7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68CD28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4</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30EF1E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开水机拆除搬运费用</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4081AF33">
            <w:pPr>
              <w:jc w:val="center"/>
              <w:rPr>
                <w:rFonts w:hint="eastAsia" w:ascii="方正仿宋_GB2312" w:hAnsi="方正仿宋_GB2312" w:eastAsia="方正仿宋_GB2312" w:cs="方正仿宋_GB2312"/>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5DC63F63">
            <w:pPr>
              <w:jc w:val="center"/>
              <w:rPr>
                <w:rFonts w:hint="eastAsia" w:ascii="方正仿宋_GB2312" w:hAnsi="方正仿宋_GB2312" w:eastAsia="方正仿宋_GB2312" w:cs="方正仿宋_GB2312"/>
                <w:i w:val="0"/>
                <w:iCs w:val="0"/>
                <w:color w:val="000000"/>
                <w:sz w:val="21"/>
                <w:szCs w:val="21"/>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301B28D">
            <w:pPr>
              <w:jc w:val="center"/>
              <w:rPr>
                <w:rFonts w:hint="eastAsia" w:ascii="方正仿宋_GB2312" w:hAnsi="方正仿宋_GB2312" w:eastAsia="方正仿宋_GB2312" w:cs="方正仿宋_GB2312"/>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3C4EE6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14:paraId="5D50ADAB">
            <w:pPr>
              <w:jc w:val="center"/>
              <w:rPr>
                <w:rFonts w:hint="eastAsia" w:ascii="方正仿宋_GB2312" w:hAnsi="方正仿宋_GB2312" w:eastAsia="方正仿宋_GB2312" w:cs="方正仿宋_GB2312"/>
                <w:i w:val="0"/>
                <w:iCs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233FE7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12</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4E697A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神州揽月共9台</w:t>
            </w:r>
          </w:p>
        </w:tc>
      </w:tr>
      <w:tr w14:paraId="3AC9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5EF7FA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5</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7EAE81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线缆施工安装</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4C1CA098">
            <w:pPr>
              <w:jc w:val="center"/>
              <w:rPr>
                <w:rFonts w:hint="eastAsia" w:ascii="方正仿宋_GB2312" w:hAnsi="方正仿宋_GB2312" w:eastAsia="方正仿宋_GB2312" w:cs="方正仿宋_GB2312"/>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9083BA0">
            <w:pPr>
              <w:jc w:val="center"/>
              <w:rPr>
                <w:rFonts w:hint="eastAsia" w:ascii="方正仿宋_GB2312" w:hAnsi="方正仿宋_GB2312" w:eastAsia="方正仿宋_GB2312" w:cs="方正仿宋_GB2312"/>
                <w:i w:val="0"/>
                <w:iCs w:val="0"/>
                <w:color w:val="000000"/>
                <w:sz w:val="21"/>
                <w:szCs w:val="21"/>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5454AAD">
            <w:pPr>
              <w:jc w:val="center"/>
              <w:rPr>
                <w:rFonts w:hint="eastAsia" w:ascii="方正仿宋_GB2312" w:hAnsi="方正仿宋_GB2312" w:eastAsia="方正仿宋_GB2312" w:cs="方正仿宋_GB2312"/>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3E3A43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14:paraId="0C045B21">
            <w:pPr>
              <w:jc w:val="center"/>
              <w:rPr>
                <w:rFonts w:hint="eastAsia" w:ascii="方正仿宋_GB2312" w:hAnsi="方正仿宋_GB2312" w:eastAsia="方正仿宋_GB2312" w:cs="方正仿宋_GB2312"/>
                <w:i w:val="0"/>
                <w:iCs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1E3038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18</w:t>
            </w: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5012E4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神州揽月共9台使用共18个工时</w:t>
            </w:r>
          </w:p>
        </w:tc>
      </w:tr>
      <w:tr w14:paraId="1208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6B5DCD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6</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2F8410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空开箱</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4621CF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采购人定制色</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384FD9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空开箱</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E7F06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空开箱</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75C55C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14:paraId="367BD7E8">
            <w:pPr>
              <w:jc w:val="center"/>
              <w:rPr>
                <w:rFonts w:hint="eastAsia" w:ascii="方正仿宋_GB2312" w:hAnsi="方正仿宋_GB2312" w:eastAsia="方正仿宋_GB2312" w:cs="方正仿宋_GB2312"/>
                <w:i w:val="0"/>
                <w:iCs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32C2AF11">
            <w:pPr>
              <w:jc w:val="center"/>
              <w:rPr>
                <w:rFonts w:hint="eastAsia" w:ascii="方正仿宋_GB2312" w:hAnsi="方正仿宋_GB2312" w:eastAsia="方正仿宋_GB2312" w:cs="方正仿宋_GB2312"/>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53F98A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神州揽月共9台使用</w:t>
            </w:r>
          </w:p>
        </w:tc>
      </w:tr>
      <w:tr w14:paraId="23B4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60925E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7</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1404D8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辅材</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423C15C1">
            <w:pPr>
              <w:jc w:val="center"/>
              <w:rPr>
                <w:rFonts w:hint="eastAsia" w:ascii="方正仿宋_GB2312" w:hAnsi="方正仿宋_GB2312" w:eastAsia="方正仿宋_GB2312" w:cs="方正仿宋_GB2312"/>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437E19B">
            <w:pPr>
              <w:jc w:val="center"/>
              <w:rPr>
                <w:rFonts w:hint="eastAsia" w:ascii="方正仿宋_GB2312" w:hAnsi="方正仿宋_GB2312" w:eastAsia="方正仿宋_GB2312" w:cs="方正仿宋_GB2312"/>
                <w:i w:val="0"/>
                <w:iCs w:val="0"/>
                <w:color w:val="000000"/>
                <w:sz w:val="21"/>
                <w:szCs w:val="21"/>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6DF5021">
            <w:pPr>
              <w:jc w:val="center"/>
              <w:rPr>
                <w:rFonts w:hint="eastAsia" w:ascii="方正仿宋_GB2312" w:hAnsi="方正仿宋_GB2312" w:eastAsia="方正仿宋_GB2312" w:cs="方正仿宋_GB2312"/>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4A0CF3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14:paraId="723CECB5">
            <w:pPr>
              <w:jc w:val="center"/>
              <w:rPr>
                <w:rFonts w:hint="eastAsia" w:ascii="方正仿宋_GB2312" w:hAnsi="方正仿宋_GB2312" w:eastAsia="方正仿宋_GB2312" w:cs="方正仿宋_GB2312"/>
                <w:i w:val="0"/>
                <w:iCs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2689CC15">
            <w:pPr>
              <w:jc w:val="center"/>
              <w:rPr>
                <w:rFonts w:hint="eastAsia" w:ascii="方正仿宋_GB2312" w:hAnsi="方正仿宋_GB2312" w:eastAsia="方正仿宋_GB2312" w:cs="方正仿宋_GB2312"/>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735AAD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神州揽月共9台使用</w:t>
            </w:r>
          </w:p>
        </w:tc>
      </w:tr>
      <w:tr w14:paraId="2CB6A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93" w:type="pct"/>
            <w:tcBorders>
              <w:top w:val="single" w:color="000000" w:sz="4" w:space="0"/>
              <w:left w:val="single" w:color="000000" w:sz="4" w:space="0"/>
              <w:bottom w:val="single" w:color="000000" w:sz="4" w:space="0"/>
              <w:right w:val="single" w:color="000000" w:sz="4" w:space="0"/>
            </w:tcBorders>
            <w:noWrap/>
            <w:vAlign w:val="center"/>
          </w:tcPr>
          <w:p w14:paraId="140F15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8</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633B35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下水改造</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5358246B">
            <w:pPr>
              <w:jc w:val="center"/>
              <w:rPr>
                <w:rFonts w:hint="eastAsia" w:ascii="方正仿宋_GB2312" w:hAnsi="方正仿宋_GB2312" w:eastAsia="方正仿宋_GB2312" w:cs="方正仿宋_GB2312"/>
                <w:i w:val="0"/>
                <w:iCs w:val="0"/>
                <w:color w:val="000000"/>
                <w:sz w:val="21"/>
                <w:szCs w:val="21"/>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B2650B">
            <w:pPr>
              <w:jc w:val="center"/>
              <w:rPr>
                <w:rFonts w:hint="eastAsia" w:ascii="方正仿宋_GB2312" w:hAnsi="方正仿宋_GB2312" w:eastAsia="方正仿宋_GB2312" w:cs="方正仿宋_GB2312"/>
                <w:i w:val="0"/>
                <w:iCs w:val="0"/>
                <w:color w:val="000000"/>
                <w:sz w:val="21"/>
                <w:szCs w:val="21"/>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A9CA862">
            <w:pPr>
              <w:jc w:val="center"/>
              <w:rPr>
                <w:rFonts w:hint="eastAsia" w:ascii="方正仿宋_GB2312" w:hAnsi="方正仿宋_GB2312" w:eastAsia="方正仿宋_GB2312" w:cs="方正仿宋_GB2312"/>
                <w:i w:val="0"/>
                <w:iCs w:val="0"/>
                <w:color w:val="000000"/>
                <w:sz w:val="21"/>
                <w:szCs w:val="21"/>
                <w:u w:val="none"/>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3D08C4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9</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14:paraId="63A67077">
            <w:pPr>
              <w:jc w:val="center"/>
              <w:rPr>
                <w:rFonts w:hint="eastAsia" w:ascii="方正仿宋_GB2312" w:hAnsi="方正仿宋_GB2312" w:eastAsia="方正仿宋_GB2312" w:cs="方正仿宋_GB2312"/>
                <w:i w:val="0"/>
                <w:iCs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36982535">
            <w:pPr>
              <w:jc w:val="center"/>
              <w:rPr>
                <w:rFonts w:hint="eastAsia" w:ascii="方正仿宋_GB2312" w:hAnsi="方正仿宋_GB2312" w:eastAsia="方正仿宋_GB2312" w:cs="方正仿宋_GB2312"/>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noWrap w:val="0"/>
            <w:vAlign w:val="center"/>
          </w:tcPr>
          <w:p w14:paraId="60D942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神州揽月共9台使用为后续使用将留两个下水口</w:t>
            </w:r>
          </w:p>
        </w:tc>
      </w:tr>
    </w:tbl>
    <w:p w14:paraId="1CEF7B47">
      <w:pPr>
        <w:widowControl/>
        <w:adjustRightInd w:val="0"/>
        <w:snapToGrid w:val="0"/>
        <w:spacing w:line="520" w:lineRule="exact"/>
        <w:ind w:firstLine="325" w:firstLineChars="135"/>
        <w:rPr>
          <w:rFonts w:hint="eastAsia" w:ascii="仿宋" w:hAnsi="仿宋" w:eastAsia="仿宋" w:cs="仿宋"/>
          <w:b/>
          <w:bCs/>
          <w:color w:val="auto"/>
          <w:kern w:val="0"/>
        </w:rPr>
      </w:pPr>
      <w:r>
        <w:rPr>
          <w:rFonts w:hint="eastAsia" w:ascii="仿宋" w:hAnsi="仿宋" w:eastAsia="仿宋" w:cs="仿宋"/>
          <w:b/>
          <w:bCs/>
          <w:color w:val="auto"/>
          <w:kern w:val="0"/>
        </w:rPr>
        <w:t>五、采购要求</w:t>
      </w:r>
    </w:p>
    <w:p w14:paraId="157CEF43">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供应商必须能够按照现行国家行业技术标准、质量标准、技术规范进行制造或采购设备及安装。投标人应保证提供符合本技术规范书和有关标准、规范、符合本项目需求的优质产品，并对其提供的技术、设计生产、供货设备及安装的质量、安全及性能负责。</w:t>
      </w:r>
    </w:p>
    <w:p w14:paraId="6FDA75D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供应商为采购人提供产品服务，包括产品安装、维修及耗材更换等免费服务（特殊环境安装除外），以保证水质卫生安全达到国家所规定标准，如因产品质量问题造成采购人或其他第三方损失，由投标人承担相应责任及赔偿，供应商应就前述责任与赔偿义务向采购人承担连带责任。</w:t>
      </w:r>
    </w:p>
    <w:p w14:paraId="75B1BE0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3.供应商应派出身体健康并有经验的能胜任技术工作的人员承担技术服务工作，负责供货设备的安装、调试、试验、启动、试运行、验收等及前面章节所提及的内容。</w:t>
      </w:r>
    </w:p>
    <w:p w14:paraId="262DDA66">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4.供应商需将主机设备的用户手册、保修手册、合格证等相关资料和随机文件全部移交给采购人。</w:t>
      </w:r>
    </w:p>
    <w:p w14:paraId="64F6B072">
      <w:pPr>
        <w:widowControl/>
        <w:adjustRightInd w:val="0"/>
        <w:snapToGrid w:val="0"/>
        <w:spacing w:line="520" w:lineRule="exact"/>
        <w:ind w:firstLine="325" w:firstLineChars="135"/>
        <w:rPr>
          <w:rFonts w:hint="eastAsia" w:ascii="仿宋" w:hAnsi="仿宋" w:eastAsia="仿宋" w:cs="仿宋"/>
          <w:b/>
          <w:bCs/>
          <w:color w:val="auto"/>
          <w:kern w:val="0"/>
        </w:rPr>
      </w:pPr>
      <w:r>
        <w:rPr>
          <w:rFonts w:hint="eastAsia" w:ascii="仿宋" w:hAnsi="仿宋" w:eastAsia="仿宋" w:cs="仿宋"/>
          <w:b/>
          <w:bCs/>
          <w:color w:val="auto"/>
          <w:kern w:val="0"/>
        </w:rPr>
        <w:t>六、质量要求</w:t>
      </w:r>
    </w:p>
    <w:p w14:paraId="46EC021C">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投标人所提供的设备，各项指标必须符合国家质量合格标准。投标人须保证所投产品均为全新、未使用过的产品。供货时，向采购人提供所投产品生产厂家出具的检测报告等质量证明文件。项目验收后合格资料出具之日起，提供1年质保服务；质保期内用户正常使用引发的设备故障，中标单位免费维修直至更换；质保期外用户正常使用引发的设备故障，中标单位免费维修或更换，只收取设备或材料的成本价，设备或材料的价格不能超过同期市场价格。</w:t>
      </w:r>
    </w:p>
    <w:p w14:paraId="08125D24">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质保期内须提供产品软件的升级更新服务、备品备件的更换服务；同时质保期内每台设备含1次的滤芯更换服务，滤芯更换完成后由具备水质检测资质单位进行检测，并出具检测报告，要求水质符合CJ94-2005《饮用净水水质标准》，报告中每台设备的检测内容含浑浊度、臭和味、肉眼可见物、PH值、溶解性总固体、总硬度、耗氧量、氯化物、细菌总数、总大肠菌群等不低于符合直饮水要求的11项内容。</w:t>
      </w:r>
    </w:p>
    <w:p w14:paraId="0CDC9F48">
      <w:pPr>
        <w:widowControl/>
        <w:adjustRightInd w:val="0"/>
        <w:snapToGrid w:val="0"/>
        <w:spacing w:line="520" w:lineRule="exact"/>
        <w:ind w:firstLine="325" w:firstLineChars="135"/>
        <w:rPr>
          <w:rFonts w:hint="eastAsia" w:ascii="仿宋" w:hAnsi="仿宋" w:eastAsia="仿宋" w:cs="仿宋"/>
          <w:b/>
          <w:bCs/>
          <w:color w:val="auto"/>
          <w:kern w:val="0"/>
        </w:rPr>
      </w:pPr>
      <w:r>
        <w:rPr>
          <w:rFonts w:hint="eastAsia" w:ascii="仿宋" w:hAnsi="仿宋" w:eastAsia="仿宋" w:cs="仿宋"/>
          <w:b/>
          <w:bCs/>
          <w:color w:val="auto"/>
          <w:kern w:val="0"/>
        </w:rPr>
        <w:t>七、后续运营维护、升级更新、备品备件等要求</w:t>
      </w:r>
    </w:p>
    <w:p w14:paraId="45A7A27F">
      <w:pPr>
        <w:pStyle w:val="4"/>
        <w:spacing w:before="197" w:line="219" w:lineRule="auto"/>
        <w:ind w:left="784"/>
        <w:rPr>
          <w:rFonts w:hint="eastAsia" w:ascii="仿宋" w:hAnsi="仿宋" w:eastAsia="仿宋" w:cs="仿宋"/>
          <w:color w:val="auto"/>
          <w:kern w:val="2"/>
          <w:sz w:val="24"/>
        </w:rPr>
      </w:pPr>
      <w:r>
        <w:rPr>
          <w:rFonts w:hint="eastAsia" w:ascii="仿宋" w:hAnsi="仿宋" w:eastAsia="仿宋" w:cs="仿宋"/>
          <w:color w:val="auto"/>
          <w:kern w:val="2"/>
          <w:sz w:val="24"/>
        </w:rPr>
        <w:t>1.直饮水机设备</w:t>
      </w:r>
    </w:p>
    <w:p w14:paraId="5E2F751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根据国家对相关电子产品保修期的规定，相关产品生产者再应保证产品停产后5年内继续提供符合技术要求的零部件，本项目的产品维保期为8年（不含1年质保期），维保期内须提供产品软件的升级更新服务、备品备件的更换服务；同时每年须进行3次的滤芯更换，滤芯更换完成后由具备水质检测资质单位进行检测，并出具检测报告，要求水质符合CJ94-2005《饮用净水水质标准》，报告中每台设备的检测内容含浑浊度、臭和味、肉眼可见物、PH值、溶解性总固体、总硬度、耗氧量、氯化物、细菌总数、总大肠菌群等不低于符合直饮水要求的11项内容。</w:t>
      </w:r>
    </w:p>
    <w:p w14:paraId="6C1292D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每年3次的滤芯更换须在学校春秋季开校前完成，并向学校相关部门提交合格的水质检测报告，水质检测的费用由维保单位承担。水质检测抽样过程须在采购人监督见证的情况下进行。</w:t>
      </w:r>
    </w:p>
    <w:p w14:paraId="21E59A8D">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2.维保要求</w:t>
      </w:r>
    </w:p>
    <w:p w14:paraId="00E799A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（1）维保期内成交供应商须对每台直饮水机设备维保。</w:t>
      </w:r>
    </w:p>
    <w:p w14:paraId="7D3045D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维保期内每台设备每年维保至少三次，直饮水机每台每次维保费用不超过800元，合计每台每年维护费用不超过2400元（含五级滤）。每年维保费总额用包含饮水机的各种易损件、滤芯耗材、各类配件、上门服务工时费、税费等全部费用，不再单独收取各种易损件、滤芯耗材、各类配件、上门服务工时费，釆取按年包干制服务。投标人结合实际情况，按照单次维保服务综合考虑报价。维保期内的维保费用按照实际维护次数单独结算。</w:t>
      </w:r>
    </w:p>
    <w:p w14:paraId="2DA02C21">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3.后续运营维护服务要求</w:t>
      </w:r>
    </w:p>
    <w:p w14:paraId="25019752">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（1）定期检查检测直饮水设备水质，及时维护保养，更换滤芯。确保设备正常运转，水质达到国家安全标准，并定期跟踪回访。</w:t>
      </w:r>
    </w:p>
    <w:p w14:paraId="6C74AA3F">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（2）供应商每年应按要求更换滤芯，在接到甲方的服务通知后立即响应三个工作日内解决，逾期未排除故障的，供应商为甲方安装备用机。</w:t>
      </w:r>
    </w:p>
    <w:p w14:paraId="1D3E4F24">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八、质保期要求</w:t>
      </w:r>
    </w:p>
    <w:p w14:paraId="502E770E">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1.质保期：自验收合格之日起1年。</w:t>
      </w:r>
    </w:p>
    <w:p w14:paraId="48435D30">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2.保修期内提供全免费维修更换，保修期后只能收取维修材料成本费，终身负责维修维护。（易损件除外）</w:t>
      </w:r>
    </w:p>
    <w:p w14:paraId="2C106FBB">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3.质保期外，供应商需提供产品的技术咨询服务。</w:t>
      </w:r>
    </w:p>
    <w:p w14:paraId="410ADD59">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九、售后服务</w:t>
      </w:r>
    </w:p>
    <w:p w14:paraId="43348316">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1.上门服务保修，一切费用由中标人承担。</w:t>
      </w:r>
    </w:p>
    <w:p w14:paraId="673CC904">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投标人应为本项目提供“7×24”的电话支持技术服务，必要时提供现场服务；对所售产品定期回访查看使用情况，及时了解采购人使用意见和要求。质保期内产品出现质量问题或使用问题时，供应商应保证1小时内响应，48小时内解决，若48小时内无法修复的，须在72小时内免费更换；</w:t>
      </w:r>
    </w:p>
    <w:p w14:paraId="283A9A44">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提供完整的人员培训计划，培训内容充实，安排合理；对使用单位操作人员进行日常使用培训，讲解使用要领，传授维护保养知识，及时移交产品的维修各项资料。接到报修电话后1小时内响应，2小时内使维修服务人员到达现场排除故障，并随时接受使用人员的咨询。</w:t>
      </w:r>
    </w:p>
    <w:p w14:paraId="5D1C68E3">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十、完成期限</w:t>
      </w:r>
    </w:p>
    <w:p w14:paraId="254BFC3A">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签订合同后15个日历天内。</w:t>
      </w:r>
    </w:p>
    <w:p w14:paraId="356C9C82">
      <w:pPr>
        <w:spacing w:before="165" w:beforeLines="50" w:after="165" w:afterLines="50"/>
        <w:ind w:firstLine="482" w:firstLineChars="200"/>
        <w:jc w:val="both"/>
        <w:rPr>
          <w:rFonts w:hint="eastAsia" w:ascii="仿宋" w:hAnsi="仿宋" w:eastAsia="仿宋" w:cs="仿宋"/>
          <w:b/>
          <w:color w:val="auto"/>
        </w:rPr>
      </w:pPr>
      <w:r>
        <w:rPr>
          <w:rFonts w:hint="eastAsia" w:ascii="仿宋" w:hAnsi="仿宋" w:eastAsia="仿宋" w:cs="仿宋"/>
          <w:b/>
          <w:color w:val="auto"/>
        </w:rPr>
        <w:t>十一、付款方式</w:t>
      </w:r>
    </w:p>
    <w:p w14:paraId="6CDDA0FF">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1.中标人完成项目全部供货内容经采购方验收合格并交付采购方后，采购方向中标人支付本合同约定费用总额的95%。</w:t>
      </w:r>
    </w:p>
    <w:p w14:paraId="1CF478BA">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2.一年保修期后，采购方向中标人支付本合同约定费用总额的5%。</w:t>
      </w:r>
    </w:p>
    <w:p w14:paraId="1D3D0C3A">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3.中标人应在采购方付款前按采购方要求向采购方出具增值税普通发票，采购方在收到中标人出具的发票且核验无误后，按上述约定向中标人付款。因中标人发票原因导致采购方迟延付款的，采购方不构成违约，中标人对此予以确认。</w:t>
      </w:r>
    </w:p>
    <w:p w14:paraId="5899EB7E">
      <w:pPr>
        <w:spacing w:line="520" w:lineRule="exact"/>
        <w:ind w:firstLine="482" w:firstLineChars="200"/>
        <w:rPr>
          <w:rFonts w:hint="eastAsia" w:ascii="仿宋" w:hAnsi="仿宋" w:eastAsia="仿宋" w:cs="仿宋"/>
          <w:b/>
          <w:color w:val="auto"/>
        </w:rPr>
      </w:pPr>
      <w:r>
        <w:rPr>
          <w:rFonts w:hint="eastAsia" w:ascii="仿宋" w:hAnsi="仿宋" w:eastAsia="仿宋" w:cs="仿宋"/>
          <w:b/>
          <w:color w:val="auto"/>
        </w:rPr>
        <w:t>十二、验收要求</w:t>
      </w:r>
    </w:p>
    <w:p w14:paraId="512D6B48">
      <w:pPr>
        <w:spacing w:line="520" w:lineRule="exact"/>
        <w:ind w:firstLine="480" w:firstLineChars="200"/>
        <w:rPr>
          <w:rFonts w:hint="eastAsia" w:ascii="仿宋" w:hAnsi="仿宋" w:eastAsia="仿宋" w:cs="仿宋"/>
          <w:color w:val="auto"/>
        </w:rPr>
      </w:pPr>
      <w:r>
        <w:rPr>
          <w:rFonts w:hint="eastAsia" w:ascii="仿宋" w:hAnsi="仿宋" w:eastAsia="仿宋" w:cs="仿宋"/>
          <w:color w:val="auto"/>
        </w:rPr>
        <w:t>1.所有服务完成后，由二级学校根据招标内容中技术参数的各项、磋商响应性文件的参数响应情况及合同进行初步验收，并出具初验报告，再由学校组织有关专家进行全面验收。所有成果符合磋商文件要求及成交人磋商响应性文件承诺后，验收小组出具《项目验收报告》。</w:t>
      </w:r>
    </w:p>
    <w:p w14:paraId="16CFAF71">
      <w:pPr>
        <w:spacing w:line="520" w:lineRule="exact"/>
        <w:ind w:firstLine="480" w:firstLineChars="200"/>
        <w:rPr>
          <w:rFonts w:hint="eastAsia" w:ascii="仿宋" w:hAnsi="仿宋" w:eastAsia="仿宋" w:cs="仿宋"/>
          <w:color w:val="auto"/>
          <w:lang w:val="en-US"/>
        </w:rPr>
      </w:pPr>
      <w:r>
        <w:rPr>
          <w:rFonts w:hint="eastAsia" w:ascii="仿宋" w:hAnsi="仿宋" w:eastAsia="仿宋" w:cs="仿宋"/>
          <w:color w:val="auto"/>
        </w:rPr>
        <w:t>2.验收时产生的相关费用及问题均由成交人自行解决，直至验收成功。请投标人认真阅读《磋商文件》，如果投标人隐瞒事实、伪造证明材料，对招标技术、售后服务等要求提供虚假资料及承诺，虚假应标并中标的，在验收过程中一旦发现，合同立即终止，并承担一切后果。</w:t>
      </w:r>
    </w:p>
    <w:p w14:paraId="08D919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877A418-712E-4119-80B2-53BCEC2BD25A}"/>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06546C33-76E6-4446-A342-B070FBF25379}"/>
  </w:font>
  <w:font w:name="仿宋_GB2312">
    <w:altName w:val="仿宋"/>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18BF6B77-38A5-43AB-A317-124581233B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93F4F"/>
    <w:rsid w:val="50111EE2"/>
    <w:rsid w:val="661C7ED9"/>
    <w:rsid w:val="6A2B01FA"/>
    <w:rsid w:val="7162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3">
    <w:name w:val="toa heading"/>
    <w:basedOn w:val="1"/>
    <w:next w:val="1"/>
    <w:qFormat/>
    <w:uiPriority w:val="0"/>
    <w:pPr>
      <w:spacing w:before="120"/>
    </w:pPr>
    <w:rPr>
      <w:rFonts w:ascii="Arial" w:hAnsi="Arial" w:cs="Arial"/>
    </w:rPr>
  </w:style>
  <w:style w:type="paragraph" w:styleId="4">
    <w:name w:val="Body Text"/>
    <w:basedOn w:val="1"/>
    <w:qFormat/>
    <w:uiPriority w:val="0"/>
    <w:pPr>
      <w:snapToGrid w:val="0"/>
      <w:spacing w:line="300" w:lineRule="auto"/>
    </w:pPr>
    <w:rPr>
      <w:rFonts w:eastAsia="宋体"/>
      <w:kern w:val="0"/>
      <w:sz w:val="20"/>
    </w:rPr>
  </w:style>
  <w:style w:type="paragraph" w:customStyle="1" w:styleId="7">
    <w:name w:val="普通正文"/>
    <w:basedOn w:val="1"/>
    <w:qFormat/>
    <w:uiPriority w:val="0"/>
    <w:pPr>
      <w:spacing w:before="120" w:after="120" w:line="360" w:lineRule="auto"/>
      <w:ind w:firstLine="480"/>
      <w:jc w:val="left"/>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3917</Words>
  <Characters>4343</Characters>
  <Lines>0</Lines>
  <Paragraphs>0</Paragraphs>
  <TotalTime>0</TotalTime>
  <ScaleCrop>false</ScaleCrop>
  <LinksUpToDate>false</LinksUpToDate>
  <CharactersWithSpaces>4361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2025-08-01T11:46:00Z</dcterms:created>
  <dc:creator>Fender</dc:creator>
  <cp:lastModifiedBy>A尐吖頭</cp:lastModifiedBy>
  <dcterms:modified xsi:type="dcterms:W3CDTF">2025-08-04T07:38:14Z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eyJoZGlkIjoiY2M1Njg5Y2U0ZDQyNDc3MTlkODVkZDUwNjdiMDNhMDMiLCJ1c2VySWQiOiI0Mjg2MzgzNDAifQ==</vt:lpwstr>
  </property>
  <property fmtid="{D5CDD505-2E9C-101B-9397-08002B2CF9AE}" pid="4" name="ICV">
    <vt:lpwstr>B77EC7764BE5458B90AA71D5D6C6102B_12</vt:lpwstr>
  </property>
</Properties>
</file>