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0BBC4">
      <w:pPr>
        <w:pStyle w:val="6"/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</w:pPr>
      <w:bookmarkStart w:id="0" w:name="_Toc516855109"/>
      <w:bookmarkStart w:id="1" w:name="_Toc165193677"/>
      <w:bookmarkStart w:id="11" w:name="_GoBack"/>
      <w:bookmarkEnd w:id="11"/>
      <w:r>
        <w:rPr>
          <w:rFonts w:ascii="仿宋" w:hAnsi="仿宋" w:eastAsia="仿宋"/>
          <w:color w:val="auto"/>
          <w:highlight w:val="none"/>
          <w:shd w:val="clear" w:color="auto" w:fill="auto"/>
        </w:rPr>
        <w:t>项目</w:t>
      </w:r>
      <w:bookmarkEnd w:id="0"/>
      <w:r>
        <w:rPr>
          <w:rFonts w:hint="eastAsia" w:ascii="仿宋" w:hAnsi="仿宋" w:eastAsia="仿宋"/>
          <w:color w:val="auto"/>
          <w:highlight w:val="none"/>
          <w:shd w:val="clear" w:color="auto" w:fill="auto"/>
        </w:rPr>
        <w:t>内容及要求</w:t>
      </w:r>
      <w:bookmarkEnd w:id="1"/>
      <w:bookmarkStart w:id="2" w:name="_Toc80841058"/>
    </w:p>
    <w:bookmarkEnd w:id="2"/>
    <w:p w14:paraId="53DAAF8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bookmarkStart w:id="3" w:name="_Toc160187005"/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  <w:t>一、项目概况</w:t>
      </w:r>
      <w:bookmarkEnd w:id="3"/>
    </w:p>
    <w:p w14:paraId="07754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bookmarkStart w:id="4" w:name="_Hlk80819861"/>
      <w:r>
        <w:rPr>
          <w:rFonts w:hint="eastAsia" w:ascii="仿宋" w:hAnsi="仿宋" w:eastAsia="仿宋" w:cs="仿宋"/>
          <w:sz w:val="24"/>
          <w:highlight w:val="none"/>
        </w:rPr>
        <w:t>项目名称：甘肃省地震局甘南地震监测中心站业务用房建设项目</w:t>
      </w:r>
    </w:p>
    <w:bookmarkEnd w:id="4"/>
    <w:p w14:paraId="320257CC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/>
        </w:rPr>
        <w:t>建设内容</w:t>
      </w:r>
    </w:p>
    <w:p w14:paraId="3855519B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本项目建设内容包括：新建业务用房，建筑面积997.92平方米，采用框架结构体系，地上3层，1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highlight w:val="none"/>
        </w:rPr>
        <w:t>3层层高均为3.90米，建筑高度13.80米，建筑消防高度12.9米，建筑耐火等级为一级，屋面防水等级为Ⅰ级，室内环境污染控制类别为Ⅱ类，建筑设计工作年限为50年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具体工程量见施工图；</w:t>
      </w:r>
      <w:r>
        <w:rPr>
          <w:rFonts w:hint="eastAsia" w:ascii="仿宋" w:hAnsi="仿宋" w:eastAsia="仿宋"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改造原有业务用房、配套设施建设、院落整治等内容，详见工程量清单。</w:t>
      </w:r>
    </w:p>
    <w:p w14:paraId="579084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bookmarkStart w:id="5" w:name="_Toc160187007"/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  <w:t>三、商务要求</w:t>
      </w:r>
      <w:bookmarkEnd w:id="5"/>
    </w:p>
    <w:p w14:paraId="39C46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</w:rPr>
      </w:pPr>
      <w:bookmarkStart w:id="6" w:name="_Toc160187008"/>
      <w:r>
        <w:rPr>
          <w:rFonts w:hint="eastAsia" w:ascii="仿宋" w:hAnsi="仿宋" w:eastAsia="仿宋" w:cs="仿宋"/>
          <w:bCs/>
          <w:sz w:val="24"/>
          <w:highlight w:val="none"/>
        </w:rPr>
        <w:t>（一）服务时间</w:t>
      </w:r>
      <w:bookmarkEnd w:id="6"/>
    </w:p>
    <w:p w14:paraId="7B413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合同签订后70日历天竣工</w:t>
      </w:r>
      <w:r>
        <w:rPr>
          <w:rFonts w:hint="eastAsia" w:ascii="仿宋" w:hAnsi="仿宋" w:eastAsia="仿宋" w:cs="仿宋"/>
          <w:bCs/>
          <w:sz w:val="24"/>
          <w:highlight w:val="none"/>
        </w:rPr>
        <w:t>。</w:t>
      </w:r>
    </w:p>
    <w:p w14:paraId="0B20C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</w:rPr>
      </w:pPr>
      <w:bookmarkStart w:id="7" w:name="_Toc160187009"/>
      <w:r>
        <w:rPr>
          <w:rFonts w:hint="eastAsia" w:ascii="仿宋" w:hAnsi="仿宋" w:eastAsia="仿宋" w:cs="仿宋"/>
          <w:bCs/>
          <w:sz w:val="24"/>
          <w:highlight w:val="none"/>
        </w:rPr>
        <w:t>（二）服务地点</w:t>
      </w:r>
      <w:bookmarkEnd w:id="7"/>
    </w:p>
    <w:p w14:paraId="65F13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bookmarkStart w:id="8" w:name="_Toc160187010"/>
      <w:r>
        <w:rPr>
          <w:rFonts w:hint="eastAsia" w:ascii="仿宋" w:hAnsi="仿宋" w:eastAsia="仿宋" w:cs="仿宋"/>
          <w:bCs/>
          <w:sz w:val="24"/>
          <w:highlight w:val="none"/>
        </w:rPr>
        <w:t>甘南藏族自治州合作市坚木克尔街道502号</w:t>
      </w: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甘南地震监测中心站</w:t>
      </w:r>
    </w:p>
    <w:p w14:paraId="1E9D9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（三）项目验收标准</w:t>
      </w:r>
      <w:bookmarkEnd w:id="8"/>
    </w:p>
    <w:p w14:paraId="1ECBA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满足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施工设计图要求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03FA2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（四）质量保证</w:t>
      </w:r>
    </w:p>
    <w:p w14:paraId="6A42A01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2"/>
          <w:highlight w:val="none"/>
          <w:lang w:val="en-US" w:eastAsia="zh-CN" w:bidi="ar-SA"/>
        </w:rPr>
        <w:t>本项目质保期为2年，在质保期内，项目建设内容出现任何问题承包人无条件及时维修，若质量出现重大缺陷造成事故由承包人承担全部责任。</w:t>
      </w:r>
    </w:p>
    <w:p w14:paraId="3A988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bookmarkStart w:id="9" w:name="_Toc160187012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（五）履约保证金</w:t>
      </w:r>
      <w:bookmarkEnd w:id="9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及质量保证金</w:t>
      </w:r>
    </w:p>
    <w:p w14:paraId="7F0C7F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</w:pPr>
      <w:bookmarkStart w:id="10" w:name="_Toc160187013"/>
      <w:r>
        <w:rPr>
          <w:rFonts w:hint="eastAsia" w:ascii="仿宋" w:hAnsi="仿宋" w:eastAsia="仿宋" w:cs="仿宋"/>
          <w:bCs/>
          <w:sz w:val="24"/>
          <w:highlight w:val="none"/>
          <w:lang w:val="en-US" w:eastAsia="zh-CN"/>
        </w:rPr>
        <w:t>承包人在收到招标代理的《中标通知书》10日内，向发包人提交合同总金额3%的履约保证金。之后履约保证金自动转为质量保证金。质保期结束后，履约保证金将由采购人无息退还给承包人。</w:t>
      </w:r>
    </w:p>
    <w:p w14:paraId="2F882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outlineLvl w:val="2"/>
        <w:rPr>
          <w:rFonts w:hint="eastAsia"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highlight w:val="none"/>
        </w:rPr>
        <w:t>（六）付款及结算方式</w:t>
      </w:r>
      <w:bookmarkEnd w:id="10"/>
    </w:p>
    <w:p w14:paraId="3D361336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color w:val="FF000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2"/>
          <w:szCs w:val="22"/>
          <w:highlight w:val="none"/>
          <w:lang w:val="en-US" w:eastAsia="zh-CN"/>
        </w:rPr>
        <w:t>2、付款及结算方式</w:t>
      </w:r>
    </w:p>
    <w:p w14:paraId="1709592F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color w:val="FF000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2"/>
          <w:szCs w:val="22"/>
          <w:highlight w:val="none"/>
          <w:lang w:val="en-US" w:eastAsia="zh-CN"/>
        </w:rPr>
        <w:t>发包人与承包人签署中标合同后15个工作日内，发包人支付承包人合同总金额30%的款项；完成主体工程后支付到合同总金额的70%，工程完成合同约定全部建设内容后，发包人支付到承包人合同总金额90%的款项；工程验收合格并经第三方结算审核后，发包人按结算审计金额支付剩余款项。每次付款承包人均负责给发包人开具结算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C85A9"/>
    <w:multiLevelType w:val="singleLevel"/>
    <w:tmpl w:val="220C85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line="360" w:lineRule="auto"/>
      <w:jc w:val="center"/>
      <w:outlineLvl w:val="0"/>
    </w:pPr>
    <w:rPr>
      <w:b/>
      <w:sz w:val="36"/>
      <w:szCs w:val="36"/>
    </w:rPr>
  </w:style>
  <w:style w:type="paragraph" w:styleId="3">
    <w:name w:val="heading 2"/>
    <w:basedOn w:val="1"/>
    <w:next w:val="1"/>
    <w:qFormat/>
    <w:uiPriority w:val="9"/>
    <w:pPr>
      <w:tabs>
        <w:tab w:val="left" w:pos="4395"/>
      </w:tabs>
      <w:adjustRightInd w:val="0"/>
      <w:snapToGrid w:val="0"/>
      <w:ind w:firstLine="482" w:firstLineChars="200"/>
      <w:jc w:val="left"/>
      <w:outlineLvl w:val="1"/>
    </w:pPr>
    <w:rPr>
      <w:rFonts w:ascii="宋体" w:hAnsi="宋体"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6">
    <w:name w:val="Title"/>
    <w:basedOn w:val="2"/>
    <w:next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2025-08-15T01:25:51Z</dcterms:created>
  <dc:creator>Administrator</dc:creator>
  <cp:lastModifiedBy>东迪</cp:lastModifiedBy>
  <dcterms:modified xsi:type="dcterms:W3CDTF">2025-08-15T01:26:05Z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eyJoZGlkIjoiMDE1MWRlMzQ5MzIwM2Q2N2YzYTRiMmIxNzVlMGZmMjAiLCJ1c2VySWQiOiI2Mjg1NzM1ODUifQ==</vt:lpwstr>
  </property>
  <property fmtid="{D5CDD505-2E9C-101B-9397-08002B2CF9AE}" pid="4" name="ICV">
    <vt:lpwstr>3963722472F5451AA9A9D875A3BF35AE_12</vt:lpwstr>
  </property>
</Properties>
</file>