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E9EDD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秦州区2025年省级财政大豆玉米带状复合种植补助资金肥料采购项目成交公告</w:t>
      </w:r>
    </w:p>
    <w:p w14:paraId="4C25CA6B"/>
    <w:p w14:paraId="4416416A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中维图新（甘肃）信息科技有限公司受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秦州区农业技术综合服务中心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的委托，对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秦州区2025年省级财政大豆玉米带状复合种植补助资金肥料采购项目以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公开招标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的方式进行采购，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日确定成交供应商。</w:t>
      </w:r>
    </w:p>
    <w:p w14:paraId="0FCDBCCB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现将成交结果公布如下：</w:t>
      </w:r>
    </w:p>
    <w:p w14:paraId="537A88FC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文件编号：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BA202508110014001</w:t>
      </w:r>
    </w:p>
    <w:p w14:paraId="3EEA5A98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公告日期：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1454DA5D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成交日期：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33962ED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成交内容：</w:t>
      </w:r>
    </w:p>
    <w:p w14:paraId="544BD55D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采购一批大豆玉米带状复合种植补助资金肥料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（坤神</w:t>
      </w:r>
    </w:p>
    <w:p w14:paraId="35055992">
      <w:pPr>
        <w:numPr>
          <w:numId w:val="0"/>
        </w:numPr>
        <w:spacing w:line="360" w:lineRule="auto"/>
        <w:ind w:firstLine="320" w:firstLineChars="1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有机-无机复混肥料(II型)）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有机-无机复混肥料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3647B70">
      <w:pPr>
        <w:numPr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该产品综合了有机肥和无机肥的优点，含有能培肥土壤的有机质和作物生长发育所必须的氮、读，钾大量元素。施用后可满足作物生长的养分需求，同时可疏松土壤，提高土壤肥力，促进作物根系发达，增强吸收养分的能力，确保植株生长健壮，实现丰产增收的目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 w14:paraId="7EB64253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采购预算：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项目总预算54万元（大写伍拾肆万整）</w:t>
      </w:r>
    </w:p>
    <w:p w14:paraId="062B50E2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成交供应商名称、地址及成交金额</w:t>
      </w:r>
    </w:p>
    <w:p w14:paraId="22BBF7EF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成交单位：康县坤神生物开发有限责任公司</w:t>
      </w:r>
    </w:p>
    <w:p w14:paraId="185B8756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价（元）：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3253.01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/吨（40kg(±0.5)）</w:t>
      </w:r>
    </w:p>
    <w:p w14:paraId="7374D322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地址：甘肃省陇南市康县城关镇三官村</w:t>
      </w:r>
    </w:p>
    <w:p w14:paraId="45023E37"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公示期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 个工作日</w:t>
      </w:r>
    </w:p>
    <w:p w14:paraId="5F6F4FC8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委员会成员名单：</w:t>
      </w:r>
    </w:p>
    <w:p w14:paraId="7FD0A728">
      <w:pPr>
        <w:spacing w:line="360" w:lineRule="auto"/>
        <w:ind w:left="72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孙礼军、熊毅、杨建太（采购人代表）</w:t>
      </w:r>
    </w:p>
    <w:p w14:paraId="0159050C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代理服务费收费标准和金额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2DB77F13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本项目代理费收费标准：以中标价格为计费基础，参照国家计委颁发的《招标代理服务收费管理暂行办法》（计价格[2002]1980号）规定计取招标代理服务费；由中标人支付。</w:t>
      </w:r>
    </w:p>
    <w:p w14:paraId="2210243A">
      <w:pPr>
        <w:spacing w:line="360" w:lineRule="auto"/>
        <w:ind w:left="72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本项目代理费总金额：0.81万元（人民币）</w:t>
      </w:r>
    </w:p>
    <w:p w14:paraId="577726B3"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项目用途简要技术要求及合同履行日期</w:t>
      </w:r>
    </w:p>
    <w:p w14:paraId="677DCBD6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本项目是秦州区2025年省级财政大豆玉米带状复合种植补助资金肥料采购项目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18FBC3A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合同履行日期：自本公告之日起30 天内签订。</w:t>
      </w:r>
    </w:p>
    <w:p w14:paraId="4A86B967">
      <w:p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十一、采购人及代理机构联系方式</w:t>
      </w:r>
      <w:bookmarkStart w:id="0" w:name="_GoBack"/>
      <w:bookmarkEnd w:id="0"/>
    </w:p>
    <w:p w14:paraId="424A769F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采 购 人：秦州区农业技术综合服务中心 </w:t>
      </w:r>
    </w:p>
    <w:p w14:paraId="4345B9AC">
      <w:pPr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kern w:val="2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地 址：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天水市秦州区农业大厦</w:t>
      </w:r>
    </w:p>
    <w:p w14:paraId="0715B060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联 系 人：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雒主任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     联系电话：0938-4908812 </w:t>
      </w:r>
    </w:p>
    <w:p w14:paraId="259FC5C8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代理机构：中维图新（甘肃）信息科技有限公司</w:t>
      </w:r>
    </w:p>
    <w:p w14:paraId="444F74F4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地 址：天水经济技术开发区众创大厦5-12室</w:t>
      </w:r>
    </w:p>
    <w:p w14:paraId="5B09469D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联 系 人：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张琼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     联系电话：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13119380907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  </w:t>
      </w:r>
    </w:p>
    <w:p w14:paraId="399698B3">
      <w:pPr>
        <w:spacing w:line="360" w:lineRule="auto"/>
        <w:jc w:val="right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 </w:t>
      </w:r>
    </w:p>
    <w:p w14:paraId="13B6762E">
      <w:pPr>
        <w:spacing w:line="360" w:lineRule="auto"/>
        <w:jc w:val="right"/>
        <w:rPr>
          <w:rFonts w:hAnsi="宋体" w:cs="宋体"/>
          <w:kern w:val="24"/>
          <w:szCs w:val="21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37AD5"/>
    <w:multiLevelType w:val="singleLevel"/>
    <w:tmpl w:val="D8B37AD5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296E2077"/>
    <w:multiLevelType w:val="multilevel"/>
    <w:tmpl w:val="296E2077"/>
    <w:lvl w:ilvl="0" w:tentative="0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DAxOTZjOTJhYjAyMjllZmY4ZDVmZTE5MTc3N2MifQ=="/>
  </w:docVars>
  <w:rsids>
    <w:rsidRoot w:val="51C60EA6"/>
    <w:rsid w:val="002460D0"/>
    <w:rsid w:val="002F5E70"/>
    <w:rsid w:val="008A78FB"/>
    <w:rsid w:val="009E6A88"/>
    <w:rsid w:val="00A57684"/>
    <w:rsid w:val="00B972C4"/>
    <w:rsid w:val="00C02E4F"/>
    <w:rsid w:val="00DB1BE4"/>
    <w:rsid w:val="00E41E83"/>
    <w:rsid w:val="00EF5CB9"/>
    <w:rsid w:val="00F3428D"/>
    <w:rsid w:val="10300B97"/>
    <w:rsid w:val="11A021EF"/>
    <w:rsid w:val="122D46DF"/>
    <w:rsid w:val="1A930F77"/>
    <w:rsid w:val="26A1499A"/>
    <w:rsid w:val="323244D3"/>
    <w:rsid w:val="343223CE"/>
    <w:rsid w:val="3B550425"/>
    <w:rsid w:val="3BE15B0C"/>
    <w:rsid w:val="40750F19"/>
    <w:rsid w:val="499441BE"/>
    <w:rsid w:val="4D1F0833"/>
    <w:rsid w:val="51C60EA6"/>
    <w:rsid w:val="54AB353C"/>
    <w:rsid w:val="55052414"/>
    <w:rsid w:val="553473E6"/>
    <w:rsid w:val="5BA80778"/>
    <w:rsid w:val="6B811C71"/>
    <w:rsid w:val="6CA16A6E"/>
    <w:rsid w:val="6E4F7FF6"/>
    <w:rsid w:val="713D7B65"/>
    <w:rsid w:val="72866971"/>
    <w:rsid w:val="7EC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627</Words>
  <Characters>724</Characters>
  <Lines>1</Lines>
  <Paragraphs>1</Paragraphs>
  <TotalTime>1</TotalTime>
  <ScaleCrop>false</ScaleCrop>
  <LinksUpToDate>false</LinksUpToDate>
  <CharactersWithSpaces>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2024-08-11T02:45:00Z</dcterms:created>
  <dc:creator>XHB</dc:creator>
  <cp:lastModifiedBy>七悦O_o</cp:lastModifiedBy>
  <dcterms:modified xsi:type="dcterms:W3CDTF">2025-09-01T07:33:05Z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4A5CAA4960AC4115A24F86DFFF3169BC_13</vt:lpwstr>
  </property>
  <property fmtid="{D5CDD505-2E9C-101B-9397-08002B2CF9AE}" pid="4" name="KSOTemplateDocerSaveRecord">
    <vt:lpwstr>eyJoZGlkIjoiZTMwMmQ2NGYxNTIwZmNhYWZlYTEwNzQ4NjM2ODg2NjgiLCJ1c2VySWQiOiIzNzM2MTIzNTgifQ==</vt:lpwstr>
  </property>
</Properties>
</file>