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8F0F81">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cs="宋体"/>
          <w:b/>
          <w:bCs/>
          <w:color w:val="000000"/>
          <w:kern w:val="0"/>
          <w:sz w:val="24"/>
          <w:szCs w:val="24"/>
          <w:lang w:eastAsia="zh-CN"/>
        </w:rPr>
      </w:pPr>
      <w:bookmarkStart w:id="1" w:name="_GoBack"/>
      <w:r>
        <w:rPr>
          <w:rFonts w:hint="eastAsia" w:ascii="宋体" w:hAnsi="宋体" w:cs="宋体"/>
          <w:b/>
          <w:bCs/>
          <w:color w:val="000000"/>
          <w:kern w:val="0"/>
          <w:sz w:val="24"/>
          <w:szCs w:val="24"/>
          <w:lang w:val="en-US" w:eastAsia="zh-CN"/>
        </w:rPr>
        <w:t>兰州交通大学</w:t>
      </w:r>
      <w:r>
        <w:rPr>
          <w:rFonts w:hint="eastAsia" w:ascii="宋体" w:hAnsi="宋体" w:cs="宋体"/>
          <w:b/>
          <w:bCs/>
          <w:color w:val="000000"/>
          <w:kern w:val="0"/>
          <w:sz w:val="24"/>
          <w:szCs w:val="24"/>
          <w:lang w:val="en-US" w:eastAsia="zh-CN"/>
        </w:rPr>
        <w:t>焊接技术与工程综合实训中心建设项目</w:t>
      </w:r>
      <w:r>
        <w:rPr>
          <w:rFonts w:hint="eastAsia" w:ascii="宋体" w:hAnsi="宋体" w:cs="宋体"/>
          <w:b/>
          <w:bCs/>
          <w:color w:val="000000"/>
          <w:kern w:val="0"/>
          <w:sz w:val="24"/>
          <w:szCs w:val="24"/>
          <w:lang w:val="en-US" w:eastAsia="zh-CN"/>
        </w:rPr>
        <w:t>公开招</w:t>
      </w:r>
      <w:r>
        <w:rPr>
          <w:rFonts w:hint="eastAsia" w:ascii="宋体" w:hAnsi="宋体" w:cs="宋体"/>
          <w:b/>
          <w:bCs/>
          <w:color w:val="000000"/>
          <w:kern w:val="0"/>
          <w:sz w:val="24"/>
          <w:szCs w:val="24"/>
          <w:lang w:val="en-US" w:eastAsia="zh-CN"/>
        </w:rPr>
        <w:t>标公告</w:t>
      </w:r>
    </w:p>
    <w:bookmarkEnd w:id="1"/>
    <w:p w14:paraId="6BF8C8C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cs="宋体"/>
          <w:color w:val="000000"/>
          <w:kern w:val="0"/>
          <w:sz w:val="24"/>
          <w:szCs w:val="24"/>
          <w:lang w:eastAsia="zh-CN"/>
        </w:rPr>
      </w:pPr>
      <w:r>
        <w:rPr>
          <w:rFonts w:hint="eastAsia" w:ascii="宋体" w:hAnsi="宋体" w:cs="宋体"/>
          <w:color w:val="000000"/>
          <w:kern w:val="0"/>
          <w:sz w:val="24"/>
          <w:szCs w:val="24"/>
          <w:lang w:eastAsia="zh-CN"/>
        </w:rPr>
        <w:t>甘肃中域纵达工程咨询有限公司受兰州交通大学委托，对兰州交通大学焊接技术与工程综合实训中心建设项目以公开招标方式进行采购，欢迎符合资格条件的供应商前来参加。</w:t>
      </w:r>
    </w:p>
    <w:p w14:paraId="545B7CCE">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一、项目基本情况</w:t>
      </w:r>
    </w:p>
    <w:p w14:paraId="547D3920">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项目编号：</w:t>
      </w:r>
      <w:r>
        <w:rPr>
          <w:rFonts w:hint="eastAsia" w:ascii="宋体" w:hAnsi="宋体" w:cs="宋体"/>
          <w:color w:val="000000"/>
          <w:kern w:val="0"/>
          <w:sz w:val="24"/>
          <w:szCs w:val="24"/>
          <w:lang w:eastAsia="zh-CN"/>
        </w:rPr>
        <w:t>LZJD-2026046-HW（DN）</w:t>
      </w:r>
    </w:p>
    <w:p w14:paraId="5702C291">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项目名称：</w:t>
      </w:r>
      <w:r>
        <w:rPr>
          <w:rFonts w:hint="eastAsia" w:ascii="宋体" w:hAnsi="宋体" w:cs="宋体"/>
          <w:color w:val="000000"/>
          <w:kern w:val="0"/>
          <w:sz w:val="24"/>
          <w:szCs w:val="24"/>
          <w:lang w:eastAsia="zh-CN"/>
        </w:rPr>
        <w:t>兰州交通大学焊接技术与工程综合实训中心建设项目</w:t>
      </w:r>
    </w:p>
    <w:p w14:paraId="272AA838">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预算金额：</w:t>
      </w:r>
      <w:r>
        <w:rPr>
          <w:rFonts w:hint="eastAsia" w:ascii="宋体" w:hAnsi="宋体" w:cs="宋体"/>
          <w:color w:val="000000"/>
          <w:kern w:val="0"/>
          <w:sz w:val="24"/>
          <w:szCs w:val="24"/>
          <w:lang w:val="en-US" w:eastAsia="zh-CN"/>
        </w:rPr>
        <w:t>44.50</w:t>
      </w:r>
      <w:r>
        <w:rPr>
          <w:rFonts w:hint="eastAsia" w:ascii="宋体" w:hAnsi="宋体" w:eastAsia="宋体" w:cs="宋体"/>
          <w:color w:val="000000"/>
          <w:kern w:val="0"/>
          <w:sz w:val="24"/>
          <w:szCs w:val="24"/>
        </w:rPr>
        <w:t>万元</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最高限价：44.50万元</w:t>
      </w:r>
    </w:p>
    <w:p w14:paraId="3028ABD1">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采购需求</w:t>
      </w:r>
      <w:r>
        <w:rPr>
          <w:rFonts w:hint="eastAsia" w:ascii="宋体" w:hAnsi="宋体" w:eastAsia="宋体" w:cs="宋体"/>
          <w:color w:val="000000"/>
          <w:kern w:val="0"/>
          <w:sz w:val="24"/>
          <w:szCs w:val="24"/>
        </w:rPr>
        <w:t>：</w:t>
      </w:r>
      <w:r>
        <w:rPr>
          <w:rFonts w:hint="eastAsia" w:ascii="宋体" w:hAnsi="宋体" w:cs="宋体"/>
          <w:color w:val="000000"/>
          <w:kern w:val="0"/>
          <w:sz w:val="24"/>
          <w:szCs w:val="24"/>
          <w:lang w:eastAsia="zh-CN"/>
        </w:rPr>
        <w:t>完成兰州交通大学焊接技术与工程综合实训中心建设项目，</w:t>
      </w:r>
      <w:r>
        <w:rPr>
          <w:rFonts w:hint="eastAsia" w:ascii="宋体" w:hAnsi="宋体" w:cs="宋体"/>
          <w:color w:val="000000"/>
          <w:kern w:val="0"/>
          <w:sz w:val="24"/>
          <w:szCs w:val="24"/>
          <w:lang w:val="en-US" w:eastAsia="zh-CN"/>
        </w:rPr>
        <w:t>具体采购内容如下：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2459"/>
        <w:gridCol w:w="1102"/>
        <w:gridCol w:w="1069"/>
        <w:gridCol w:w="1713"/>
        <w:gridCol w:w="1474"/>
      </w:tblGrid>
      <w:tr w14:paraId="3C4ED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6" w:type="dxa"/>
            <w:vAlign w:val="center"/>
          </w:tcPr>
          <w:p w14:paraId="6ABB24F3">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序号</w:t>
            </w:r>
          </w:p>
        </w:tc>
        <w:tc>
          <w:tcPr>
            <w:tcW w:w="2463" w:type="dxa"/>
            <w:vAlign w:val="center"/>
          </w:tcPr>
          <w:p w14:paraId="1E88B7AC">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采购内容</w:t>
            </w:r>
          </w:p>
        </w:tc>
        <w:tc>
          <w:tcPr>
            <w:tcW w:w="1104" w:type="dxa"/>
            <w:vAlign w:val="center"/>
          </w:tcPr>
          <w:p w14:paraId="67EB209A">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单位</w:t>
            </w:r>
          </w:p>
        </w:tc>
        <w:tc>
          <w:tcPr>
            <w:tcW w:w="1071" w:type="dxa"/>
            <w:vAlign w:val="center"/>
          </w:tcPr>
          <w:p w14:paraId="642C01EE">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数量</w:t>
            </w:r>
          </w:p>
        </w:tc>
        <w:tc>
          <w:tcPr>
            <w:tcW w:w="1714" w:type="dxa"/>
            <w:vAlign w:val="center"/>
          </w:tcPr>
          <w:p w14:paraId="73BBFED3">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eastAsia"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单价最高限价（元）</w:t>
            </w:r>
          </w:p>
        </w:tc>
        <w:tc>
          <w:tcPr>
            <w:tcW w:w="1475" w:type="dxa"/>
            <w:vAlign w:val="center"/>
          </w:tcPr>
          <w:p w14:paraId="4DFFBD86">
            <w:pPr>
              <w:keepNext w:val="0"/>
              <w:keepLines w:val="0"/>
              <w:pageBreakBefore w:val="0"/>
              <w:widowControl/>
              <w:kinsoku/>
              <w:wordWrap/>
              <w:overflowPunct/>
              <w:topLinePunct w:val="0"/>
              <w:autoSpaceDE/>
              <w:autoSpaceDN/>
              <w:bidi w:val="0"/>
              <w:adjustRightInd/>
              <w:snapToGrid/>
              <w:spacing w:beforeAutospacing="0" w:afterAutospacing="0" w:line="360" w:lineRule="exact"/>
              <w:ind w:right="0"/>
              <w:jc w:val="center"/>
              <w:textAlignment w:val="auto"/>
              <w:outlineLvl w:val="9"/>
              <w:rPr>
                <w:rFonts w:hint="default" w:ascii="宋体" w:hAnsi="宋体" w:eastAsia="宋体" w:cs="宋体"/>
                <w:b/>
                <w:bCs/>
                <w:color w:val="000000"/>
                <w:kern w:val="0"/>
                <w:sz w:val="24"/>
                <w:szCs w:val="24"/>
                <w:vertAlign w:val="baseline"/>
                <w:lang w:val="en-US" w:eastAsia="zh-CN"/>
              </w:rPr>
            </w:pPr>
            <w:r>
              <w:rPr>
                <w:rFonts w:hint="eastAsia" w:ascii="宋体" w:hAnsi="宋体" w:eastAsia="宋体" w:cs="宋体"/>
                <w:b/>
                <w:bCs/>
                <w:color w:val="000000"/>
                <w:kern w:val="0"/>
                <w:sz w:val="24"/>
                <w:szCs w:val="24"/>
                <w:vertAlign w:val="baseline"/>
                <w:lang w:val="en-US" w:eastAsia="zh-CN"/>
              </w:rPr>
              <w:t>备注</w:t>
            </w:r>
          </w:p>
        </w:tc>
      </w:tr>
      <w:tr w14:paraId="7E65A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6" w:type="dxa"/>
            <w:vAlign w:val="center"/>
          </w:tcPr>
          <w:p w14:paraId="670E0E2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2463" w:type="dxa"/>
            <w:vAlign w:val="center"/>
          </w:tcPr>
          <w:p w14:paraId="5D47B81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rPr>
              <w:t>全数字工业重载智能焊机</w:t>
            </w:r>
          </w:p>
        </w:tc>
        <w:tc>
          <w:tcPr>
            <w:tcW w:w="1104" w:type="dxa"/>
            <w:vAlign w:val="center"/>
          </w:tcPr>
          <w:p w14:paraId="46407D8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lang w:val="en-US" w:eastAsia="zh-CN"/>
              </w:rPr>
              <w:t>台</w:t>
            </w:r>
          </w:p>
        </w:tc>
        <w:tc>
          <w:tcPr>
            <w:tcW w:w="1071" w:type="dxa"/>
            <w:vAlign w:val="center"/>
          </w:tcPr>
          <w:p w14:paraId="259647A5">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714" w:type="dxa"/>
            <w:vAlign w:val="center"/>
          </w:tcPr>
          <w:p w14:paraId="3CECAEEA">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55000.00</w:t>
            </w:r>
          </w:p>
        </w:tc>
        <w:tc>
          <w:tcPr>
            <w:tcW w:w="1475" w:type="dxa"/>
            <w:vMerge w:val="restart"/>
            <w:vAlign w:val="center"/>
          </w:tcPr>
          <w:p w14:paraId="5F759EF7">
            <w:pPr>
              <w:keepNext w:val="0"/>
              <w:keepLines w:val="0"/>
              <w:widowControl/>
              <w:suppressLineNumbers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color w:val="000000"/>
                <w:kern w:val="0"/>
                <w:sz w:val="24"/>
                <w:szCs w:val="24"/>
                <w:vertAlign w:val="baseline"/>
                <w:lang w:val="en-US" w:eastAsia="zh-CN"/>
              </w:rPr>
              <w:t>技术规格、参数及要求详见招标文件</w:t>
            </w:r>
          </w:p>
        </w:tc>
      </w:tr>
      <w:tr w14:paraId="207E4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6" w:type="dxa"/>
            <w:vAlign w:val="center"/>
          </w:tcPr>
          <w:p w14:paraId="40A7BDA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2463" w:type="dxa"/>
            <w:vAlign w:val="center"/>
          </w:tcPr>
          <w:p w14:paraId="45C2B6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rPr>
              <w:t>手持式激光填丝焊机（四合一）</w:t>
            </w:r>
          </w:p>
        </w:tc>
        <w:tc>
          <w:tcPr>
            <w:tcW w:w="1104" w:type="dxa"/>
            <w:vAlign w:val="center"/>
          </w:tcPr>
          <w:p w14:paraId="50AE48F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台</w:t>
            </w:r>
          </w:p>
        </w:tc>
        <w:tc>
          <w:tcPr>
            <w:tcW w:w="1071" w:type="dxa"/>
            <w:vAlign w:val="center"/>
          </w:tcPr>
          <w:p w14:paraId="26F0BC5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714" w:type="dxa"/>
            <w:vAlign w:val="center"/>
          </w:tcPr>
          <w:p w14:paraId="0C8DC31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60000.00</w:t>
            </w:r>
          </w:p>
        </w:tc>
        <w:tc>
          <w:tcPr>
            <w:tcW w:w="1475" w:type="dxa"/>
            <w:vMerge w:val="continue"/>
            <w:vAlign w:val="center"/>
          </w:tcPr>
          <w:p w14:paraId="693D463B">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eastAsia="宋体" w:cs="宋体"/>
                <w:color w:val="000000"/>
                <w:kern w:val="0"/>
                <w:sz w:val="24"/>
                <w:szCs w:val="24"/>
                <w:vertAlign w:val="baseline"/>
                <w:lang w:val="en-US" w:eastAsia="zh-CN"/>
              </w:rPr>
            </w:pPr>
          </w:p>
        </w:tc>
      </w:tr>
      <w:tr w14:paraId="548EB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6" w:type="dxa"/>
            <w:vAlign w:val="center"/>
          </w:tcPr>
          <w:p w14:paraId="24F04AE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3</w:t>
            </w:r>
          </w:p>
        </w:tc>
        <w:tc>
          <w:tcPr>
            <w:tcW w:w="2463" w:type="dxa"/>
            <w:vAlign w:val="center"/>
          </w:tcPr>
          <w:p w14:paraId="35B491DD">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lang w:val="en-US" w:eastAsia="zh-CN"/>
              </w:rPr>
              <w:t>高速摄像采集系统</w:t>
            </w:r>
          </w:p>
        </w:tc>
        <w:tc>
          <w:tcPr>
            <w:tcW w:w="1104" w:type="dxa"/>
            <w:vAlign w:val="center"/>
          </w:tcPr>
          <w:p w14:paraId="62A09D6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台</w:t>
            </w:r>
          </w:p>
        </w:tc>
        <w:tc>
          <w:tcPr>
            <w:tcW w:w="1071" w:type="dxa"/>
            <w:vAlign w:val="center"/>
          </w:tcPr>
          <w:p w14:paraId="38A53296">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714" w:type="dxa"/>
            <w:vAlign w:val="center"/>
          </w:tcPr>
          <w:p w14:paraId="0F6BAC6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235000.00</w:t>
            </w:r>
          </w:p>
        </w:tc>
        <w:tc>
          <w:tcPr>
            <w:tcW w:w="1475" w:type="dxa"/>
            <w:vMerge w:val="continue"/>
            <w:vAlign w:val="center"/>
          </w:tcPr>
          <w:p w14:paraId="3848F1EF">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eastAsia="宋体" w:cs="宋体"/>
                <w:color w:val="000000"/>
                <w:kern w:val="0"/>
                <w:sz w:val="24"/>
                <w:szCs w:val="24"/>
                <w:vertAlign w:val="baseline"/>
                <w:lang w:val="en-US" w:eastAsia="zh-CN"/>
              </w:rPr>
            </w:pPr>
          </w:p>
        </w:tc>
      </w:tr>
      <w:tr w14:paraId="21F0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706" w:type="dxa"/>
            <w:vAlign w:val="center"/>
          </w:tcPr>
          <w:p w14:paraId="77E8353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4</w:t>
            </w:r>
          </w:p>
        </w:tc>
        <w:tc>
          <w:tcPr>
            <w:tcW w:w="2463" w:type="dxa"/>
            <w:vAlign w:val="center"/>
          </w:tcPr>
          <w:p w14:paraId="15E055E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rPr>
              <w:t>数据采集卡</w:t>
            </w:r>
          </w:p>
        </w:tc>
        <w:tc>
          <w:tcPr>
            <w:tcW w:w="1104" w:type="dxa"/>
            <w:vAlign w:val="center"/>
          </w:tcPr>
          <w:p w14:paraId="20CAE5E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台</w:t>
            </w:r>
          </w:p>
        </w:tc>
        <w:tc>
          <w:tcPr>
            <w:tcW w:w="1071" w:type="dxa"/>
            <w:vAlign w:val="center"/>
          </w:tcPr>
          <w:p w14:paraId="5CD8802F">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default" w:ascii="宋体" w:hAnsi="宋体" w:eastAsia="宋体" w:cs="宋体"/>
                <w:i w:val="0"/>
                <w:iCs w:val="0"/>
                <w:snapToGrid w:val="0"/>
                <w:color w:val="000000"/>
                <w:kern w:val="0"/>
                <w:sz w:val="24"/>
                <w:szCs w:val="24"/>
                <w:u w:val="none"/>
                <w:lang w:val="en-US" w:eastAsia="zh-CN" w:bidi="ar"/>
              </w:rPr>
              <w:t>1</w:t>
            </w:r>
          </w:p>
        </w:tc>
        <w:tc>
          <w:tcPr>
            <w:tcW w:w="1714" w:type="dxa"/>
            <w:vAlign w:val="center"/>
          </w:tcPr>
          <w:p w14:paraId="770E20E1">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25000.00</w:t>
            </w:r>
          </w:p>
        </w:tc>
        <w:tc>
          <w:tcPr>
            <w:tcW w:w="1475" w:type="dxa"/>
            <w:vMerge w:val="continue"/>
            <w:vAlign w:val="center"/>
          </w:tcPr>
          <w:p w14:paraId="57F02B9D">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eastAsia="宋体" w:cs="宋体"/>
                <w:color w:val="000000"/>
                <w:kern w:val="0"/>
                <w:sz w:val="24"/>
                <w:szCs w:val="24"/>
                <w:vertAlign w:val="baseline"/>
                <w:lang w:val="en-US" w:eastAsia="zh-CN"/>
              </w:rPr>
            </w:pPr>
          </w:p>
        </w:tc>
      </w:tr>
      <w:tr w14:paraId="08BA5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6" w:type="dxa"/>
            <w:vAlign w:val="center"/>
          </w:tcPr>
          <w:p w14:paraId="7042E66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5</w:t>
            </w:r>
          </w:p>
        </w:tc>
        <w:tc>
          <w:tcPr>
            <w:tcW w:w="2463" w:type="dxa"/>
            <w:vAlign w:val="center"/>
          </w:tcPr>
          <w:p w14:paraId="4331C0AC">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highlight w:val="yellow"/>
                <w:vertAlign w:val="baseline"/>
                <w:lang w:val="en-US" w:eastAsia="zh-CN"/>
              </w:rPr>
            </w:pPr>
            <w:r>
              <w:rPr>
                <w:rFonts w:hint="eastAsia" w:ascii="宋体" w:hAnsi="宋体" w:eastAsia="宋体" w:cs="宋体"/>
                <w:i w:val="0"/>
                <w:iCs w:val="0"/>
                <w:color w:val="000000"/>
                <w:sz w:val="24"/>
                <w:szCs w:val="24"/>
                <w:u w:val="none"/>
              </w:rPr>
              <w:t>轻便式数字超声探伤仪</w:t>
            </w:r>
          </w:p>
        </w:tc>
        <w:tc>
          <w:tcPr>
            <w:tcW w:w="1104" w:type="dxa"/>
            <w:vAlign w:val="center"/>
          </w:tcPr>
          <w:p w14:paraId="0EDC00BB">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highlight w:val="yellow"/>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台</w:t>
            </w:r>
          </w:p>
        </w:tc>
        <w:tc>
          <w:tcPr>
            <w:tcW w:w="1071" w:type="dxa"/>
            <w:vAlign w:val="center"/>
          </w:tcPr>
          <w:p w14:paraId="28C1363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highlight w:val="yellow"/>
                <w:vertAlign w:val="baseline"/>
                <w:lang w:val="en-US" w:eastAsia="zh-CN"/>
              </w:rPr>
            </w:pPr>
            <w:r>
              <w:rPr>
                <w:rFonts w:hint="default" w:ascii="宋体" w:hAnsi="宋体" w:eastAsia="宋体" w:cs="宋体"/>
                <w:i w:val="0"/>
                <w:iCs w:val="0"/>
                <w:snapToGrid w:val="0"/>
                <w:color w:val="000000"/>
                <w:kern w:val="0"/>
                <w:sz w:val="24"/>
                <w:szCs w:val="24"/>
                <w:u w:val="none"/>
                <w:lang w:val="en-US" w:eastAsia="zh-CN" w:bidi="ar"/>
              </w:rPr>
              <w:t>1</w:t>
            </w:r>
          </w:p>
        </w:tc>
        <w:tc>
          <w:tcPr>
            <w:tcW w:w="1714" w:type="dxa"/>
            <w:vAlign w:val="center"/>
          </w:tcPr>
          <w:p w14:paraId="3DB669C4">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snapToGrid w:val="0"/>
                <w:color w:val="000000"/>
                <w:kern w:val="0"/>
                <w:sz w:val="24"/>
                <w:szCs w:val="24"/>
                <w:u w:val="none"/>
                <w:lang w:val="en-US" w:eastAsia="zh-CN" w:bidi="ar"/>
              </w:rPr>
            </w:pPr>
            <w:r>
              <w:rPr>
                <w:rFonts w:hint="eastAsia" w:ascii="宋体" w:hAnsi="宋体" w:eastAsia="宋体" w:cs="宋体"/>
                <w:i w:val="0"/>
                <w:iCs w:val="0"/>
                <w:snapToGrid w:val="0"/>
                <w:color w:val="000000"/>
                <w:kern w:val="0"/>
                <w:sz w:val="24"/>
                <w:szCs w:val="24"/>
                <w:u w:val="none"/>
                <w:lang w:val="en-US" w:eastAsia="zh-CN" w:bidi="ar"/>
              </w:rPr>
              <w:t>60000.00</w:t>
            </w:r>
          </w:p>
        </w:tc>
        <w:tc>
          <w:tcPr>
            <w:tcW w:w="1475" w:type="dxa"/>
            <w:vMerge w:val="continue"/>
            <w:vAlign w:val="center"/>
          </w:tcPr>
          <w:p w14:paraId="3CF5F2F2">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eastAsia="宋体" w:cs="宋体"/>
                <w:color w:val="000000"/>
                <w:kern w:val="0"/>
                <w:sz w:val="24"/>
                <w:szCs w:val="24"/>
                <w:vertAlign w:val="baseline"/>
                <w:lang w:val="en-US" w:eastAsia="zh-CN"/>
              </w:rPr>
            </w:pPr>
          </w:p>
        </w:tc>
      </w:tr>
      <w:tr w14:paraId="0FC9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06" w:type="dxa"/>
            <w:vAlign w:val="center"/>
          </w:tcPr>
          <w:p w14:paraId="17663392">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snapToGrid w:val="0"/>
                <w:color w:val="000000"/>
                <w:kern w:val="0"/>
                <w:sz w:val="24"/>
                <w:szCs w:val="24"/>
                <w:u w:val="none"/>
                <w:lang w:val="en-US" w:eastAsia="zh-CN" w:bidi="ar"/>
              </w:rPr>
              <w:t>6</w:t>
            </w:r>
          </w:p>
        </w:tc>
        <w:tc>
          <w:tcPr>
            <w:tcW w:w="2463" w:type="dxa"/>
            <w:vAlign w:val="center"/>
          </w:tcPr>
          <w:p w14:paraId="6980A57E">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rPr>
              <w:t>配套建设</w:t>
            </w:r>
            <w:r>
              <w:rPr>
                <w:rFonts w:hint="eastAsia" w:ascii="宋体" w:hAnsi="宋体" w:eastAsia="宋体" w:cs="宋体"/>
                <w:i w:val="0"/>
                <w:iCs w:val="0"/>
                <w:color w:val="000000"/>
                <w:sz w:val="24"/>
                <w:szCs w:val="24"/>
                <w:u w:val="none"/>
                <w:lang w:val="en-US" w:eastAsia="zh-CN"/>
              </w:rPr>
              <w:t>费</w:t>
            </w:r>
          </w:p>
        </w:tc>
        <w:tc>
          <w:tcPr>
            <w:tcW w:w="1104" w:type="dxa"/>
            <w:vAlign w:val="center"/>
          </w:tcPr>
          <w:p w14:paraId="69EE9F30">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lang w:val="en-US" w:eastAsia="zh-CN"/>
              </w:rPr>
              <w:t>套</w:t>
            </w:r>
          </w:p>
        </w:tc>
        <w:tc>
          <w:tcPr>
            <w:tcW w:w="1071" w:type="dxa"/>
            <w:vAlign w:val="center"/>
          </w:tcPr>
          <w:p w14:paraId="1612CFE3">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eastAsia" w:ascii="宋体" w:hAnsi="宋体" w:eastAsia="宋体" w:cs="宋体"/>
                <w:color w:val="000000"/>
                <w:kern w:val="0"/>
                <w:sz w:val="24"/>
                <w:szCs w:val="24"/>
                <w:vertAlign w:val="baseline"/>
                <w:lang w:val="en-US" w:eastAsia="zh-CN"/>
              </w:rPr>
            </w:pPr>
            <w:r>
              <w:rPr>
                <w:rFonts w:hint="eastAsia" w:ascii="宋体" w:hAnsi="宋体" w:eastAsia="宋体" w:cs="宋体"/>
                <w:i w:val="0"/>
                <w:iCs w:val="0"/>
                <w:color w:val="000000"/>
                <w:sz w:val="24"/>
                <w:szCs w:val="24"/>
                <w:u w:val="none"/>
                <w:lang w:val="en-US" w:eastAsia="zh-CN"/>
              </w:rPr>
              <w:t>1</w:t>
            </w:r>
          </w:p>
        </w:tc>
        <w:tc>
          <w:tcPr>
            <w:tcW w:w="1714" w:type="dxa"/>
            <w:vAlign w:val="center"/>
          </w:tcPr>
          <w:p w14:paraId="1976C798">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10000.00</w:t>
            </w:r>
          </w:p>
        </w:tc>
        <w:tc>
          <w:tcPr>
            <w:tcW w:w="1475" w:type="dxa"/>
            <w:vMerge w:val="continue"/>
            <w:vAlign w:val="center"/>
          </w:tcPr>
          <w:p w14:paraId="1E7644CA">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jc w:val="center"/>
              <w:textAlignment w:val="auto"/>
              <w:outlineLvl w:val="9"/>
              <w:rPr>
                <w:rFonts w:hint="eastAsia" w:ascii="宋体" w:hAnsi="宋体" w:eastAsia="宋体" w:cs="宋体"/>
                <w:color w:val="000000"/>
                <w:kern w:val="0"/>
                <w:sz w:val="24"/>
                <w:szCs w:val="24"/>
                <w:vertAlign w:val="baseline"/>
                <w:lang w:val="en-US" w:eastAsia="zh-CN"/>
              </w:rPr>
            </w:pPr>
          </w:p>
        </w:tc>
      </w:tr>
    </w:tbl>
    <w:p w14:paraId="0731AE04">
      <w:pPr>
        <w:keepNext w:val="0"/>
        <w:keepLines w:val="0"/>
        <w:pageBreakBefore w:val="0"/>
        <w:widowControl/>
        <w:kinsoku/>
        <w:wordWrap/>
        <w:overflowPunct/>
        <w:topLinePunct w:val="0"/>
        <w:autoSpaceDE/>
        <w:autoSpaceDN/>
        <w:bidi w:val="0"/>
        <w:adjustRightInd/>
        <w:snapToGrid/>
        <w:spacing w:beforeAutospacing="0" w:afterAutospacing="0" w:line="440" w:lineRule="exact"/>
        <w:ind w:right="0" w:firstLine="480" w:firstLineChars="200"/>
        <w:jc w:val="left"/>
        <w:textAlignment w:val="auto"/>
        <w:outlineLvl w:val="9"/>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合同履行期限</w:t>
      </w:r>
      <w:r>
        <w:rPr>
          <w:rFonts w:hint="eastAsia" w:ascii="宋体" w:hAnsi="宋体" w:eastAsia="宋体" w:cs="宋体"/>
          <w:color w:val="000000"/>
          <w:kern w:val="0"/>
          <w:sz w:val="24"/>
          <w:szCs w:val="24"/>
        </w:rPr>
        <w:t>：</w:t>
      </w:r>
      <w:r>
        <w:rPr>
          <w:rFonts w:hint="eastAsia" w:ascii="宋体" w:hAnsi="宋体" w:eastAsia="宋体" w:cs="宋体"/>
          <w:color w:val="000000"/>
          <w:kern w:val="0"/>
          <w:sz w:val="24"/>
          <w:szCs w:val="24"/>
          <w:lang w:val="en-US" w:eastAsia="zh-CN"/>
        </w:rPr>
        <w:t>自合同签订之日起 30 日内完成交货、安装至验收合格。</w:t>
      </w:r>
    </w:p>
    <w:p w14:paraId="1475279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2" w:firstLineChars="200"/>
        <w:jc w:val="left"/>
        <w:textAlignment w:val="auto"/>
        <w:outlineLvl w:val="9"/>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二、</w:t>
      </w:r>
      <w:r>
        <w:rPr>
          <w:rFonts w:hint="eastAsia" w:ascii="宋体" w:hAnsi="宋体" w:cs="宋体"/>
          <w:b/>
          <w:color w:val="000000"/>
          <w:kern w:val="0"/>
          <w:sz w:val="24"/>
          <w:szCs w:val="24"/>
          <w:lang w:eastAsia="zh-CN"/>
        </w:rPr>
        <w:t>投标人</w:t>
      </w:r>
      <w:r>
        <w:rPr>
          <w:rFonts w:hint="eastAsia" w:ascii="宋体" w:hAnsi="宋体" w:eastAsia="宋体" w:cs="宋体"/>
          <w:b/>
          <w:color w:val="000000"/>
          <w:kern w:val="0"/>
          <w:sz w:val="24"/>
          <w:szCs w:val="24"/>
        </w:rPr>
        <w:t>资格要求</w:t>
      </w:r>
      <w:bookmarkStart w:id="0" w:name="OLE_LINK1"/>
    </w:p>
    <w:bookmarkEnd w:id="0"/>
    <w:p w14:paraId="49E5187E">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1、</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须符合《中华人民共和国政府采购法》第二十二条之规定；提供《中华人民共和国政府采购法实施条例》第十七条中要求的材料：</w:t>
      </w:r>
    </w:p>
    <w:p w14:paraId="731D3D14">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（1）</w:t>
      </w:r>
      <w:r>
        <w:rPr>
          <w:rFonts w:hint="eastAsia" w:ascii="宋体" w:hAnsi="宋体" w:eastAsia="宋体" w:cs="宋体"/>
          <w:color w:val="000000"/>
          <w:kern w:val="0"/>
          <w:sz w:val="24"/>
          <w:szCs w:val="24"/>
          <w:lang w:val="en-US" w:eastAsia="zh-CN"/>
        </w:rPr>
        <w:t>营业执照：有效的营业执照，或事业单位法人证书，或自然人身份证明，或其他非企业组织证明独立承担民事责任能力的文件；（复印件加盖公章）</w:t>
      </w:r>
    </w:p>
    <w:p w14:paraId="3CB00B43">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（2）</w:t>
      </w:r>
      <w:r>
        <w:rPr>
          <w:rFonts w:hint="eastAsia" w:ascii="宋体" w:hAnsi="宋体" w:eastAsia="宋体" w:cs="宋体"/>
          <w:color w:val="000000"/>
          <w:kern w:val="0"/>
          <w:sz w:val="24"/>
          <w:szCs w:val="24"/>
          <w:lang w:val="en-US" w:eastAsia="zh-CN"/>
        </w:rPr>
        <w:t>财务状况：</w:t>
      </w:r>
      <w:r>
        <w:rPr>
          <w:rFonts w:hint="eastAsia" w:ascii="宋体" w:hAnsi="宋体" w:cs="宋体"/>
          <w:color w:val="000000"/>
          <w:kern w:val="0"/>
          <w:sz w:val="24"/>
          <w:szCs w:val="24"/>
          <w:lang w:val="en-US" w:eastAsia="zh-CN"/>
        </w:rPr>
        <w:t>投标人需提供经第三方审计的2024或2025年度审计报告</w:t>
      </w:r>
      <w:r>
        <w:rPr>
          <w:rFonts w:hint="eastAsia" w:ascii="宋体" w:hAnsi="宋体" w:eastAsia="宋体" w:cs="宋体"/>
          <w:color w:val="000000"/>
          <w:kern w:val="0"/>
          <w:sz w:val="24"/>
          <w:szCs w:val="24"/>
          <w:lang w:val="en-US" w:eastAsia="zh-CN"/>
        </w:rPr>
        <w:t>，或财政部门认可的政府采购专业担保机构出具的响应担保函，或银行出具的资信证明；（复印件加盖公章，以出报告日期为准）</w:t>
      </w:r>
    </w:p>
    <w:p w14:paraId="2B50B5E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（3）</w:t>
      </w:r>
      <w:r>
        <w:rPr>
          <w:rFonts w:hint="eastAsia" w:ascii="宋体" w:hAnsi="宋体" w:eastAsia="宋体" w:cs="宋体"/>
          <w:color w:val="000000"/>
          <w:kern w:val="0"/>
          <w:sz w:val="24"/>
          <w:szCs w:val="24"/>
          <w:lang w:val="en-US" w:eastAsia="zh-CN"/>
        </w:rPr>
        <w:t>纳税证明：</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需提供</w:t>
      </w:r>
      <w:r>
        <w:rPr>
          <w:rFonts w:hint="eastAsia" w:ascii="宋体" w:hAnsi="宋体" w:cs="宋体"/>
          <w:color w:val="000000"/>
          <w:kern w:val="0"/>
          <w:sz w:val="24"/>
          <w:szCs w:val="24"/>
          <w:lang w:val="en-US" w:eastAsia="zh-CN"/>
        </w:rPr>
        <w:t>2025年11月至今任意一个月</w:t>
      </w:r>
      <w:r>
        <w:rPr>
          <w:rFonts w:hint="eastAsia" w:ascii="宋体" w:hAnsi="宋体" w:eastAsia="宋体" w:cs="宋体"/>
          <w:color w:val="000000"/>
          <w:kern w:val="0"/>
          <w:sz w:val="24"/>
          <w:szCs w:val="24"/>
          <w:lang w:val="en-US" w:eastAsia="zh-CN"/>
        </w:rPr>
        <w:t>的缴纳增值税或企业所得税的凭据，依法免税的</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，应提供相应的证明文件；（复印件加盖公章）</w:t>
      </w:r>
    </w:p>
    <w:p w14:paraId="5F97BCB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社保缴纳证明：</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需提供</w:t>
      </w:r>
      <w:r>
        <w:rPr>
          <w:rFonts w:hint="eastAsia" w:ascii="宋体" w:hAnsi="宋体" w:cs="宋体"/>
          <w:color w:val="000000"/>
          <w:kern w:val="0"/>
          <w:sz w:val="24"/>
          <w:szCs w:val="24"/>
          <w:lang w:val="en-US" w:eastAsia="zh-CN"/>
        </w:rPr>
        <w:t>2025年11月至今任意一个月</w:t>
      </w:r>
      <w:r>
        <w:rPr>
          <w:rFonts w:hint="eastAsia" w:ascii="宋体" w:hAnsi="宋体" w:eastAsia="宋体" w:cs="宋体"/>
          <w:color w:val="000000"/>
          <w:kern w:val="0"/>
          <w:sz w:val="24"/>
          <w:szCs w:val="24"/>
          <w:lang w:val="en-US" w:eastAsia="zh-CN"/>
        </w:rPr>
        <w:t>的缴纳社会保障资金的入账票据凭证，</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逐年缴纳社会保障资金的，须提供2025或2026年度缴纳社会保障资金的入账票据凭证；（复印件加盖公章）</w:t>
      </w:r>
    </w:p>
    <w:p w14:paraId="217792E4">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（5）</w:t>
      </w:r>
      <w:r>
        <w:rPr>
          <w:rFonts w:hint="eastAsia" w:ascii="宋体" w:hAnsi="宋体" w:eastAsia="宋体" w:cs="宋体"/>
          <w:color w:val="000000"/>
          <w:kern w:val="0"/>
          <w:sz w:val="24"/>
          <w:szCs w:val="24"/>
          <w:lang w:val="en-US" w:eastAsia="zh-CN"/>
        </w:rPr>
        <w:t>具有履行合同所必需的设备和专业技术能力：</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需提供具有履行合同所必需的设备和专业技术能力</w:t>
      </w:r>
      <w:r>
        <w:rPr>
          <w:rFonts w:hint="eastAsia" w:ascii="宋体" w:hAnsi="宋体" w:cs="宋体"/>
          <w:color w:val="000000"/>
          <w:kern w:val="0"/>
          <w:sz w:val="24"/>
          <w:szCs w:val="24"/>
          <w:lang w:val="en-US" w:eastAsia="zh-CN"/>
        </w:rPr>
        <w:t>的情况说明或承诺书。</w:t>
      </w:r>
      <w:r>
        <w:rPr>
          <w:rFonts w:hint="eastAsia" w:ascii="宋体" w:hAnsi="宋体" w:eastAsia="宋体" w:cs="宋体"/>
          <w:color w:val="000000"/>
          <w:kern w:val="0"/>
          <w:sz w:val="24"/>
          <w:szCs w:val="24"/>
          <w:lang w:val="en-US" w:eastAsia="zh-CN"/>
        </w:rPr>
        <w:t>（原件）</w:t>
      </w:r>
    </w:p>
    <w:p w14:paraId="375482E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left"/>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（6）</w:t>
      </w:r>
      <w:r>
        <w:rPr>
          <w:rFonts w:hint="eastAsia" w:ascii="宋体" w:hAnsi="宋体" w:eastAsia="宋体" w:cs="宋体"/>
          <w:color w:val="000000"/>
          <w:kern w:val="0"/>
          <w:sz w:val="24"/>
          <w:szCs w:val="24"/>
          <w:lang w:val="en-US" w:eastAsia="zh-CN"/>
        </w:rPr>
        <w:t>无重大违法记录声明：参加政府采购活动前3年内在经营活动中没有重大违法记录的书面声明。（原件）</w:t>
      </w:r>
    </w:p>
    <w:p w14:paraId="5A8A0010">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方可参加本项目</w:t>
      </w:r>
      <w:r>
        <w:rPr>
          <w:rFonts w:hint="eastAsia" w:ascii="宋体" w:hAnsi="宋体" w:cs="宋体"/>
          <w:color w:val="000000"/>
          <w:kern w:val="0"/>
          <w:sz w:val="24"/>
          <w:szCs w:val="24"/>
          <w:lang w:val="en-US" w:eastAsia="zh-CN"/>
        </w:rPr>
        <w:t>。</w:t>
      </w:r>
      <w:r>
        <w:rPr>
          <w:rFonts w:hint="eastAsia" w:ascii="宋体" w:hAnsi="宋体" w:eastAsia="宋体" w:cs="宋体"/>
          <w:color w:val="000000"/>
          <w:kern w:val="0"/>
          <w:sz w:val="24"/>
          <w:szCs w:val="24"/>
          <w:lang w:val="en-US" w:eastAsia="zh-CN"/>
        </w:rPr>
        <w:t>（以采购公告发出之日起至</w:t>
      </w:r>
      <w:r>
        <w:rPr>
          <w:rFonts w:hint="eastAsia" w:ascii="宋体" w:hAnsi="宋体" w:cs="宋体"/>
          <w:color w:val="000000"/>
          <w:kern w:val="0"/>
          <w:sz w:val="24"/>
          <w:szCs w:val="24"/>
          <w:lang w:val="en-US" w:eastAsia="zh-CN"/>
        </w:rPr>
        <w:t>投标文件</w:t>
      </w:r>
      <w:r>
        <w:rPr>
          <w:rFonts w:hint="eastAsia" w:ascii="宋体" w:hAnsi="宋体" w:eastAsia="宋体" w:cs="宋体"/>
          <w:color w:val="000000"/>
          <w:kern w:val="0"/>
          <w:sz w:val="24"/>
          <w:szCs w:val="24"/>
          <w:lang w:val="en-US" w:eastAsia="zh-CN"/>
        </w:rPr>
        <w:t>递交截止时间之日止在“信用中国”网站（www.creditchina.gov.cn）、中国政府采购网（www.ccgp.gov.cn）查询结果为准，如相关失信记录已失效，</w:t>
      </w:r>
      <w:r>
        <w:rPr>
          <w:rFonts w:hint="eastAsia" w:ascii="宋体" w:hAnsi="宋体" w:cs="宋体"/>
          <w:color w:val="000000"/>
          <w:kern w:val="0"/>
          <w:sz w:val="24"/>
          <w:szCs w:val="24"/>
          <w:lang w:val="en-US" w:eastAsia="zh-CN"/>
        </w:rPr>
        <w:t>投标人</w:t>
      </w:r>
      <w:r>
        <w:rPr>
          <w:rFonts w:hint="eastAsia" w:ascii="宋体" w:hAnsi="宋体" w:eastAsia="宋体" w:cs="宋体"/>
          <w:color w:val="000000"/>
          <w:kern w:val="0"/>
          <w:sz w:val="24"/>
          <w:szCs w:val="24"/>
          <w:lang w:val="en-US" w:eastAsia="zh-CN"/>
        </w:rPr>
        <w:t>需提供相关证明资料）</w:t>
      </w:r>
    </w:p>
    <w:p w14:paraId="0A4A6C13">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outlineLvl w:val="9"/>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3、投标人与其他投标人的单位负责人不是同一人、不存在直接控股或管理关系。（提供书面声明原件）</w:t>
      </w:r>
    </w:p>
    <w:p w14:paraId="61308DD7">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right="0" w:firstLine="480" w:firstLineChars="200"/>
        <w:jc w:val="both"/>
        <w:textAlignment w:val="auto"/>
        <w:outlineLvl w:val="9"/>
        <w:rPr>
          <w:rFonts w:hint="eastAsia"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4、</w:t>
      </w:r>
      <w:r>
        <w:rPr>
          <w:rFonts w:hint="eastAsia" w:ascii="宋体" w:hAnsi="宋体" w:eastAsia="宋体" w:cs="宋体"/>
          <w:color w:val="000000"/>
          <w:kern w:val="0"/>
          <w:sz w:val="24"/>
          <w:szCs w:val="24"/>
          <w:lang w:val="en-US" w:eastAsia="zh-CN"/>
        </w:rPr>
        <w:t>本项目不接受联合体</w:t>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lang w:val="en-US" w:eastAsia="zh-CN"/>
        </w:rPr>
        <w:t>。（提供非联合体</w:t>
      </w:r>
      <w:r>
        <w:rPr>
          <w:rFonts w:hint="eastAsia" w:ascii="宋体" w:hAnsi="宋体" w:cs="宋体"/>
          <w:color w:val="000000"/>
          <w:kern w:val="0"/>
          <w:sz w:val="24"/>
          <w:szCs w:val="24"/>
          <w:lang w:val="en-US" w:eastAsia="zh-CN"/>
        </w:rPr>
        <w:t>投标</w:t>
      </w:r>
      <w:r>
        <w:rPr>
          <w:rFonts w:hint="eastAsia" w:ascii="宋体" w:hAnsi="宋体" w:eastAsia="宋体" w:cs="宋体"/>
          <w:color w:val="000000"/>
          <w:kern w:val="0"/>
          <w:sz w:val="24"/>
          <w:szCs w:val="24"/>
          <w:lang w:val="en-US" w:eastAsia="zh-CN"/>
        </w:rPr>
        <w:t>声明函）</w:t>
      </w:r>
    </w:p>
    <w:p w14:paraId="7D28BC36">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rPr>
      </w:pPr>
      <w:r>
        <w:rPr>
          <w:rFonts w:hint="eastAsia" w:ascii="宋体" w:hAnsi="宋体" w:cs="宋体"/>
          <w:b/>
          <w:bCs/>
          <w:sz w:val="24"/>
          <w:szCs w:val="24"/>
          <w:highlight w:val="none"/>
          <w:lang w:val="en-US" w:eastAsia="zh-CN"/>
        </w:rPr>
        <w:t>三</w:t>
      </w:r>
      <w:r>
        <w:rPr>
          <w:rFonts w:hint="eastAsia" w:ascii="宋体" w:hAnsi="宋体" w:eastAsia="宋体" w:cs="宋体"/>
          <w:b/>
          <w:bCs/>
          <w:sz w:val="24"/>
          <w:szCs w:val="24"/>
          <w:highlight w:val="none"/>
        </w:rPr>
        <w:t>、项目需要落实的政府采购政策</w:t>
      </w:r>
    </w:p>
    <w:p w14:paraId="37B772DA">
      <w:pPr>
        <w:pStyle w:val="7"/>
        <w:keepNext w:val="0"/>
        <w:keepLines w:val="0"/>
        <w:pageBreakBefore w:val="0"/>
        <w:kinsoku/>
        <w:wordWrap/>
        <w:overflowPunct w:val="0"/>
        <w:topLinePunct w:val="0"/>
        <w:autoSpaceDE w:val="0"/>
        <w:autoSpaceDN w:val="0"/>
        <w:bidi w:val="0"/>
        <w:adjustRightInd w:val="0"/>
        <w:snapToGrid w:val="0"/>
        <w:spacing w:line="440" w:lineRule="exact"/>
        <w:ind w:left="0" w:leftChars="0" w:right="0" w:firstLine="480" w:firstLineChars="200"/>
        <w:jc w:val="left"/>
        <w:outlineLvl w:val="9"/>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根据财政部发布的《政府采购促进中小企业发展管理办法》（财库〔2020〕46号）及《关于进一步加大政府采购支持中小企业力度的通知》（财库〔2022〕19号）规定，对符合规定的小型和微型企业产品的价格</w:t>
      </w:r>
      <w:r>
        <w:rPr>
          <w:rFonts w:hint="eastAsia" w:hAnsi="宋体" w:eastAsia="宋体" w:cs="宋体"/>
          <w:color w:val="auto"/>
          <w:sz w:val="24"/>
          <w:szCs w:val="24"/>
          <w:highlight w:val="none"/>
          <w:lang w:eastAsia="zh-CN"/>
        </w:rPr>
        <w:t>给予10%</w:t>
      </w:r>
      <w:r>
        <w:rPr>
          <w:rFonts w:hint="eastAsia" w:ascii="宋体" w:hAnsi="宋体" w:eastAsia="宋体" w:cs="宋体"/>
          <w:color w:val="auto"/>
          <w:sz w:val="24"/>
          <w:szCs w:val="24"/>
          <w:highlight w:val="none"/>
        </w:rPr>
        <w:t>的扣除。</w:t>
      </w:r>
    </w:p>
    <w:p w14:paraId="63DA46AD">
      <w:pPr>
        <w:pStyle w:val="7"/>
        <w:keepNext w:val="0"/>
        <w:keepLines w:val="0"/>
        <w:pageBreakBefore w:val="0"/>
        <w:kinsoku/>
        <w:wordWrap/>
        <w:overflowPunct w:val="0"/>
        <w:topLinePunct w:val="0"/>
        <w:autoSpaceDE w:val="0"/>
        <w:autoSpaceDN w:val="0"/>
        <w:bidi w:val="0"/>
        <w:adjustRightInd w:val="0"/>
        <w:snapToGrid w:val="0"/>
        <w:spacing w:line="440" w:lineRule="exact"/>
        <w:ind w:left="0" w:leftChars="0" w:right="0" w:firstLine="480" w:firstLineChars="200"/>
        <w:jc w:val="left"/>
        <w:outlineLvl w:val="9"/>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根据财政部发布的《关于政府采购支持监狱企业发展有关问题的通知》规定，对符合规定的监狱企业产品的价格</w:t>
      </w:r>
      <w:r>
        <w:rPr>
          <w:rFonts w:hint="eastAsia" w:hAnsi="宋体" w:eastAsia="宋体" w:cs="宋体"/>
          <w:color w:val="auto"/>
          <w:sz w:val="24"/>
          <w:szCs w:val="24"/>
          <w:highlight w:val="none"/>
          <w:lang w:eastAsia="zh-CN"/>
        </w:rPr>
        <w:t>给予10%</w:t>
      </w:r>
      <w:r>
        <w:rPr>
          <w:rFonts w:hint="eastAsia" w:ascii="宋体" w:hAnsi="宋体" w:eastAsia="宋体" w:cs="宋体"/>
          <w:color w:val="auto"/>
          <w:sz w:val="24"/>
          <w:szCs w:val="24"/>
          <w:highlight w:val="none"/>
        </w:rPr>
        <w:t>的扣除。</w:t>
      </w:r>
    </w:p>
    <w:p w14:paraId="633A6C4A">
      <w:pPr>
        <w:pStyle w:val="12"/>
        <w:keepNext w:val="0"/>
        <w:keepLines w:val="0"/>
        <w:pageBreakBefore w:val="0"/>
        <w:widowControl/>
        <w:kinsoku/>
        <w:wordWrap/>
        <w:overflowPunct/>
        <w:topLinePunct w:val="0"/>
        <w:autoSpaceDE w:val="0"/>
        <w:autoSpaceDN w:val="0"/>
        <w:bidi w:val="0"/>
        <w:adjustRightInd w:val="0"/>
        <w:snapToGrid w:val="0"/>
        <w:spacing w:line="400" w:lineRule="exact"/>
        <w:ind w:left="0" w:right="0" w:firstLine="480" w:firstLineChars="200"/>
        <w:jc w:val="both"/>
        <w:textAlignment w:val="baseline"/>
        <w:outlineLvl w:val="9"/>
        <w:rPr>
          <w:rFonts w:hint="eastAsia" w:ascii="宋体" w:hAnsi="宋体" w:eastAsia="宋体" w:cs="宋体"/>
          <w:color w:val="auto"/>
          <w:sz w:val="24"/>
          <w:szCs w:val="24"/>
          <w:highlight w:val="none"/>
        </w:rPr>
      </w:pPr>
      <w:r>
        <w:rPr>
          <w:rFonts w:hint="eastAsia"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根据财政部、民政部、中国残疾人联合会发布的《关于促进残疾人就业政府采购政 策的通知》规定，对符合规定的残疾人福利性单位产品的价格</w:t>
      </w:r>
      <w:r>
        <w:rPr>
          <w:rFonts w:hint="eastAsia" w:cs="宋体"/>
          <w:color w:val="auto"/>
          <w:sz w:val="24"/>
          <w:szCs w:val="24"/>
          <w:highlight w:val="none"/>
          <w:lang w:eastAsia="zh-CN"/>
        </w:rPr>
        <w:t>给予10%</w:t>
      </w:r>
      <w:r>
        <w:rPr>
          <w:rFonts w:hint="eastAsia" w:ascii="宋体" w:hAnsi="宋体" w:eastAsia="宋体" w:cs="宋体"/>
          <w:color w:val="auto"/>
          <w:sz w:val="24"/>
          <w:szCs w:val="24"/>
          <w:highlight w:val="none"/>
        </w:rPr>
        <w:t>的扣除。</w:t>
      </w:r>
    </w:p>
    <w:p w14:paraId="71AA0856">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四</w:t>
      </w:r>
      <w:r>
        <w:rPr>
          <w:rFonts w:hint="eastAsia" w:ascii="宋体" w:hAnsi="宋体" w:eastAsia="宋体" w:cs="宋体"/>
          <w:b/>
          <w:bCs/>
          <w:sz w:val="24"/>
          <w:szCs w:val="24"/>
          <w:highlight w:val="none"/>
        </w:rPr>
        <w:t>、获取</w:t>
      </w:r>
      <w:r>
        <w:rPr>
          <w:rFonts w:hint="eastAsia" w:ascii="宋体" w:hAnsi="宋体" w:cs="宋体"/>
          <w:b/>
          <w:bCs/>
          <w:sz w:val="24"/>
          <w:szCs w:val="24"/>
          <w:highlight w:val="none"/>
          <w:lang w:eastAsia="zh-CN"/>
        </w:rPr>
        <w:t>招标文件</w:t>
      </w:r>
      <w:r>
        <w:rPr>
          <w:rFonts w:hint="eastAsia" w:ascii="宋体" w:hAnsi="宋体" w:eastAsia="宋体" w:cs="宋体"/>
          <w:b/>
          <w:bCs/>
          <w:sz w:val="24"/>
          <w:szCs w:val="24"/>
          <w:highlight w:val="none"/>
        </w:rPr>
        <w:t>的时间、地点、方式</w:t>
      </w:r>
    </w:p>
    <w:p w14:paraId="05F49E3B">
      <w:pPr>
        <w:pStyle w:val="13"/>
        <w:keepNext w:val="0"/>
        <w:keepLines w:val="0"/>
        <w:pageBreakBefore w:val="0"/>
        <w:kinsoku/>
        <w:wordWrap/>
        <w:overflowPunct w:val="0"/>
        <w:topLinePunct w:val="0"/>
        <w:autoSpaceDE w:val="0"/>
        <w:autoSpaceDN w:val="0"/>
        <w:bidi w:val="0"/>
        <w:adjustRightInd w:val="0"/>
        <w:spacing w:line="440" w:lineRule="exact"/>
        <w:ind w:left="0" w:leftChars="0" w:right="0" w:firstLine="480" w:firstLineChars="200"/>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1、获取时间：</w:t>
      </w:r>
      <w:r>
        <w:rPr>
          <w:rFonts w:hint="eastAsia" w:ascii="宋体" w:hAnsi="宋体" w:cs="宋体"/>
          <w:snapToGrid w:val="0"/>
          <w:color w:val="auto"/>
          <w:sz w:val="24"/>
          <w:szCs w:val="24"/>
          <w:highlight w:val="none"/>
          <w:lang w:val="en-US" w:eastAsia="zh-CN" w:bidi="ar-SA"/>
        </w:rPr>
        <w:t>2026年4月22日至2026年4月28日</w:t>
      </w:r>
      <w:r>
        <w:rPr>
          <w:rFonts w:hint="eastAsia" w:ascii="宋体" w:hAnsi="宋体" w:eastAsia="宋体" w:cs="宋体"/>
          <w:snapToGrid w:val="0"/>
          <w:color w:val="auto"/>
          <w:sz w:val="24"/>
          <w:szCs w:val="24"/>
          <w:highlight w:val="none"/>
          <w:lang w:val="en-US" w:eastAsia="zh-CN" w:bidi="ar-SA"/>
        </w:rPr>
        <w:t>（</w:t>
      </w:r>
      <w:r>
        <w:rPr>
          <w:rFonts w:hint="eastAsia" w:ascii="宋体" w:hAnsi="宋体" w:cs="宋体"/>
          <w:snapToGrid w:val="0"/>
          <w:color w:val="auto"/>
          <w:sz w:val="24"/>
          <w:szCs w:val="24"/>
          <w:highlight w:val="none"/>
          <w:lang w:val="en-US" w:eastAsia="zh-CN" w:bidi="ar-SA"/>
        </w:rPr>
        <w:t>5个工作日</w:t>
      </w:r>
      <w:r>
        <w:rPr>
          <w:rFonts w:hint="eastAsia" w:ascii="宋体" w:hAnsi="宋体" w:eastAsia="宋体" w:cs="宋体"/>
          <w:snapToGrid w:val="0"/>
          <w:color w:val="auto"/>
          <w:sz w:val="24"/>
          <w:szCs w:val="24"/>
          <w:highlight w:val="none"/>
          <w:lang w:val="en-US" w:eastAsia="zh-CN" w:bidi="ar-SA"/>
        </w:rPr>
        <w:t>），每天上午9：00-12：00，下午14：30-17：30；（北京时间，法定节假日不除外）</w:t>
      </w:r>
    </w:p>
    <w:p w14:paraId="273A5168">
      <w:pPr>
        <w:pStyle w:val="13"/>
        <w:keepNext w:val="0"/>
        <w:keepLines w:val="0"/>
        <w:pageBreakBefore w:val="0"/>
        <w:kinsoku/>
        <w:wordWrap/>
        <w:overflowPunct w:val="0"/>
        <w:topLinePunct w:val="0"/>
        <w:autoSpaceDE w:val="0"/>
        <w:autoSpaceDN w:val="0"/>
        <w:bidi w:val="0"/>
        <w:adjustRightInd w:val="0"/>
        <w:spacing w:line="440" w:lineRule="exact"/>
        <w:ind w:left="0" w:leftChars="0" w:right="0" w:firstLine="480" w:firstLineChars="200"/>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2、获取方式：现场获取或以电子邮件方式（1291669604@qq.com）</w:t>
      </w:r>
    </w:p>
    <w:p w14:paraId="3B357FD6">
      <w:pPr>
        <w:keepNext w:val="0"/>
        <w:keepLines w:val="0"/>
        <w:pageBreakBefore w:val="0"/>
        <w:kinsoku/>
        <w:wordWrap/>
        <w:overflowPunct/>
        <w:topLinePunct w:val="0"/>
        <w:autoSpaceDE/>
        <w:autoSpaceDN/>
        <w:bidi w:val="0"/>
        <w:spacing w:line="440" w:lineRule="exact"/>
        <w:ind w:left="0" w:right="0" w:firstLine="480" w:firstLineChars="200"/>
        <w:jc w:val="left"/>
        <w:textAlignment w:val="auto"/>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3、获取</w:t>
      </w:r>
      <w:r>
        <w:rPr>
          <w:rFonts w:hint="eastAsia" w:ascii="宋体" w:hAnsi="宋体" w:cs="宋体"/>
          <w:snapToGrid w:val="0"/>
          <w:color w:val="auto"/>
          <w:sz w:val="24"/>
          <w:szCs w:val="24"/>
          <w:highlight w:val="none"/>
          <w:lang w:val="en-US" w:eastAsia="zh-CN" w:bidi="ar-SA"/>
        </w:rPr>
        <w:t>招标文件</w:t>
      </w:r>
      <w:r>
        <w:rPr>
          <w:rFonts w:hint="eastAsia" w:ascii="宋体" w:hAnsi="宋体" w:eastAsia="宋体" w:cs="宋体"/>
          <w:snapToGrid w:val="0"/>
          <w:color w:val="auto"/>
          <w:sz w:val="24"/>
          <w:szCs w:val="24"/>
          <w:highlight w:val="none"/>
          <w:lang w:val="en-US" w:eastAsia="zh-CN" w:bidi="ar-SA"/>
        </w:rPr>
        <w:t>须提供的资料：</w:t>
      </w:r>
      <w:r>
        <w:rPr>
          <w:rFonts w:hint="eastAsia" w:ascii="宋体" w:hAnsi="宋体" w:cs="宋体"/>
          <w:snapToGrid w:val="0"/>
          <w:color w:val="auto"/>
          <w:sz w:val="24"/>
          <w:szCs w:val="24"/>
          <w:highlight w:val="none"/>
          <w:lang w:val="en-US" w:eastAsia="zh-CN" w:bidi="ar-SA"/>
        </w:rPr>
        <w:t>营业执照和法人身份证明或授权委托书</w:t>
      </w:r>
      <w:r>
        <w:rPr>
          <w:rFonts w:hint="eastAsia" w:ascii="宋体" w:hAnsi="宋体" w:eastAsia="宋体" w:cs="宋体"/>
          <w:snapToGrid w:val="0"/>
          <w:color w:val="auto"/>
          <w:sz w:val="24"/>
          <w:szCs w:val="24"/>
          <w:highlight w:val="none"/>
          <w:lang w:val="en-US" w:eastAsia="zh-CN" w:bidi="ar-SA"/>
        </w:rPr>
        <w:t>；</w:t>
      </w:r>
    </w:p>
    <w:p w14:paraId="2DDCDEF5">
      <w:pPr>
        <w:keepNext w:val="0"/>
        <w:keepLines w:val="0"/>
        <w:pageBreakBefore w:val="0"/>
        <w:kinsoku/>
        <w:wordWrap/>
        <w:overflowPunct/>
        <w:topLinePunct w:val="0"/>
        <w:autoSpaceDE/>
        <w:autoSpaceDN/>
        <w:bidi w:val="0"/>
        <w:spacing w:line="440" w:lineRule="exact"/>
        <w:ind w:left="0" w:right="0" w:firstLine="482" w:firstLineChars="200"/>
        <w:jc w:val="left"/>
        <w:textAlignment w:val="auto"/>
        <w:outlineLvl w:val="9"/>
        <w:rPr>
          <w:rFonts w:hint="eastAsia" w:ascii="宋体" w:hAnsi="宋体" w:eastAsia="宋体" w:cs="宋体"/>
          <w:kern w:val="0"/>
          <w:sz w:val="24"/>
          <w:szCs w:val="24"/>
          <w:highlight w:val="none"/>
          <w:lang w:val="en-US" w:eastAsia="zh-CN" w:bidi="ar"/>
        </w:rPr>
      </w:pPr>
      <w:r>
        <w:rPr>
          <w:rFonts w:hint="eastAsia" w:ascii="宋体" w:hAnsi="宋体" w:eastAsia="宋体" w:cs="宋体"/>
          <w:b/>
          <w:bCs/>
          <w:kern w:val="0"/>
          <w:sz w:val="24"/>
          <w:szCs w:val="24"/>
          <w:highlight w:val="none"/>
          <w:lang w:val="en-US" w:eastAsia="zh-CN" w:bidi="ar"/>
        </w:rPr>
        <w:t>注:各潜在</w:t>
      </w:r>
      <w:r>
        <w:rPr>
          <w:rFonts w:hint="eastAsia" w:ascii="宋体" w:hAnsi="宋体" w:cs="宋体"/>
          <w:b/>
          <w:bCs/>
          <w:kern w:val="0"/>
          <w:sz w:val="24"/>
          <w:szCs w:val="24"/>
          <w:highlight w:val="none"/>
          <w:lang w:val="en-US" w:eastAsia="zh-CN" w:bidi="ar"/>
        </w:rPr>
        <w:t>投标人</w:t>
      </w:r>
      <w:r>
        <w:rPr>
          <w:rFonts w:hint="eastAsia" w:ascii="宋体" w:hAnsi="宋体" w:eastAsia="宋体" w:cs="宋体"/>
          <w:b/>
          <w:bCs/>
          <w:kern w:val="0"/>
          <w:sz w:val="24"/>
          <w:szCs w:val="24"/>
          <w:highlight w:val="none"/>
          <w:lang w:val="en-US" w:eastAsia="zh-CN" w:bidi="ar"/>
        </w:rPr>
        <w:t>现场获取文件需将以上资料一式贰套装订成单面活页册，加盖公章；邮件获取文件需将以上资料盖章的扫描件以PDF格式发送至指定邮箱。（PDF格式文件需命名为:公司名称+项目名称）进行登记。</w:t>
      </w:r>
    </w:p>
    <w:p w14:paraId="5570D148">
      <w:pPr>
        <w:pStyle w:val="13"/>
        <w:keepNext w:val="0"/>
        <w:keepLines w:val="0"/>
        <w:pageBreakBefore w:val="0"/>
        <w:kinsoku/>
        <w:wordWrap/>
        <w:overflowPunct w:val="0"/>
        <w:topLinePunct w:val="0"/>
        <w:autoSpaceDE w:val="0"/>
        <w:autoSpaceDN w:val="0"/>
        <w:bidi w:val="0"/>
        <w:adjustRightInd w:val="0"/>
        <w:spacing w:line="440" w:lineRule="exact"/>
        <w:ind w:left="0" w:leftChars="0" w:right="0" w:firstLine="480" w:firstLineChars="200"/>
        <w:outlineLvl w:val="9"/>
        <w:rPr>
          <w:rFonts w:hint="eastAsia" w:ascii="宋体" w:hAnsi="宋体" w:eastAsia="宋体" w:cs="宋体"/>
          <w:snapToGrid w:val="0"/>
          <w:color w:val="auto"/>
          <w:sz w:val="24"/>
          <w:szCs w:val="24"/>
          <w:highlight w:val="none"/>
          <w:lang w:val="en-US" w:eastAsia="zh-CN" w:bidi="ar-SA"/>
        </w:rPr>
      </w:pPr>
      <w:r>
        <w:rPr>
          <w:rFonts w:hint="eastAsia" w:ascii="宋体" w:hAnsi="宋体" w:eastAsia="宋体" w:cs="宋体"/>
          <w:snapToGrid w:val="0"/>
          <w:color w:val="auto"/>
          <w:sz w:val="24"/>
          <w:szCs w:val="24"/>
          <w:highlight w:val="none"/>
          <w:lang w:val="en-US" w:eastAsia="zh-CN" w:bidi="ar-SA"/>
        </w:rPr>
        <w:t>4、</w:t>
      </w:r>
      <w:r>
        <w:rPr>
          <w:rFonts w:hint="eastAsia" w:ascii="宋体" w:hAnsi="宋体" w:eastAsia="宋体" w:cs="宋体"/>
          <w:spacing w:val="-2"/>
          <w:kern w:val="2"/>
          <w:sz w:val="24"/>
          <w:szCs w:val="24"/>
          <w:lang w:val="en-US" w:eastAsia="zh-CN" w:bidi="ar-SA"/>
        </w:rPr>
        <w:t>文件工本费</w:t>
      </w:r>
      <w:r>
        <w:rPr>
          <w:rFonts w:hint="eastAsia" w:ascii="宋体" w:hAnsi="宋体" w:eastAsia="宋体" w:cs="宋体"/>
          <w:spacing w:val="-2"/>
          <w:sz w:val="24"/>
          <w:szCs w:val="24"/>
          <w:lang w:val="en-US" w:eastAsia="zh-CN"/>
        </w:rPr>
        <w:t>：</w:t>
      </w:r>
      <w:r>
        <w:rPr>
          <w:rFonts w:hint="eastAsia" w:ascii="宋体" w:hAnsi="宋体" w:eastAsia="宋体" w:cs="宋体"/>
          <w:snapToGrid w:val="0"/>
          <w:color w:val="auto"/>
          <w:sz w:val="24"/>
          <w:szCs w:val="24"/>
          <w:highlight w:val="none"/>
          <w:lang w:val="en-US" w:eastAsia="zh-CN" w:bidi="ar-SA"/>
        </w:rPr>
        <w:t>人民币300元/份，售后不退。</w:t>
      </w:r>
    </w:p>
    <w:p w14:paraId="444B8AEA">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9"/>
        <w:rPr>
          <w:rFonts w:hint="eastAsia" w:ascii="宋体" w:hAnsi="宋体" w:eastAsia="宋体" w:cs="宋体"/>
          <w:sz w:val="24"/>
          <w:szCs w:val="24"/>
        </w:rPr>
      </w:pPr>
      <w:r>
        <w:rPr>
          <w:rFonts w:hint="eastAsia" w:ascii="宋体" w:hAnsi="宋体" w:cs="宋体"/>
          <w:b/>
          <w:bCs/>
          <w:sz w:val="24"/>
          <w:szCs w:val="24"/>
          <w:highlight w:val="none"/>
          <w:lang w:val="en-US" w:eastAsia="zh-CN"/>
        </w:rPr>
        <w:t>五</w:t>
      </w:r>
      <w:r>
        <w:rPr>
          <w:rFonts w:hint="eastAsia" w:ascii="宋体" w:hAnsi="宋体" w:eastAsia="宋体" w:cs="宋体"/>
          <w:b/>
          <w:bCs/>
          <w:sz w:val="24"/>
          <w:szCs w:val="24"/>
          <w:highlight w:val="none"/>
        </w:rPr>
        <w:t>、递交</w:t>
      </w:r>
      <w:r>
        <w:rPr>
          <w:rFonts w:hint="eastAsia" w:ascii="宋体" w:hAnsi="宋体" w:cs="宋体"/>
          <w:b/>
          <w:bCs/>
          <w:sz w:val="24"/>
          <w:szCs w:val="24"/>
          <w:highlight w:val="none"/>
          <w:lang w:eastAsia="zh-CN"/>
        </w:rPr>
        <w:t>投标文件</w:t>
      </w:r>
      <w:r>
        <w:rPr>
          <w:rFonts w:hint="eastAsia" w:ascii="宋体" w:hAnsi="宋体" w:eastAsia="宋体" w:cs="宋体"/>
          <w:b/>
          <w:bCs/>
          <w:sz w:val="24"/>
          <w:szCs w:val="24"/>
          <w:highlight w:val="none"/>
        </w:rPr>
        <w:t>截止时间及地点</w:t>
      </w:r>
    </w:p>
    <w:p w14:paraId="5DB06932">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9"/>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递交截止时间</w:t>
      </w:r>
      <w:r>
        <w:rPr>
          <w:rFonts w:hint="eastAsia" w:ascii="宋体" w:hAnsi="宋体" w:eastAsia="宋体" w:cs="宋体"/>
          <w:sz w:val="24"/>
          <w:szCs w:val="24"/>
          <w:lang w:eastAsia="zh-CN"/>
        </w:rPr>
        <w:t>：</w:t>
      </w:r>
      <w:r>
        <w:rPr>
          <w:rFonts w:hint="eastAsia" w:ascii="宋体" w:hAnsi="宋体" w:cs="宋体"/>
          <w:sz w:val="24"/>
          <w:szCs w:val="24"/>
          <w:lang w:eastAsia="zh-CN"/>
        </w:rPr>
        <w:t>2026年5月12日15时00分</w:t>
      </w:r>
      <w:r>
        <w:rPr>
          <w:rFonts w:hint="eastAsia" w:ascii="宋体" w:hAnsi="宋体" w:eastAsia="宋体" w:cs="宋体"/>
          <w:sz w:val="24"/>
          <w:szCs w:val="24"/>
        </w:rPr>
        <w:t>（北京时间）</w:t>
      </w:r>
    </w:p>
    <w:p w14:paraId="19FEA505">
      <w:pPr>
        <w:keepNext w:val="0"/>
        <w:keepLines w:val="0"/>
        <w:pageBreakBefore w:val="0"/>
        <w:widowControl w:val="0"/>
        <w:kinsoku/>
        <w:wordWrap/>
        <w:overflowPunct/>
        <w:topLinePunct w:val="0"/>
        <w:autoSpaceDE/>
        <w:autoSpaceDN/>
        <w:bidi w:val="0"/>
        <w:adjustRightInd/>
        <w:snapToGrid/>
        <w:spacing w:line="440" w:lineRule="exact"/>
        <w:ind w:left="0" w:right="0" w:firstLine="480" w:firstLineChars="200"/>
        <w:textAlignment w:val="auto"/>
        <w:outlineLvl w:val="9"/>
        <w:rPr>
          <w:rFonts w:hint="eastAsia" w:ascii="宋体" w:hAnsi="宋体" w:eastAsia="宋体" w:cs="宋体"/>
          <w:sz w:val="24"/>
          <w:szCs w:val="24"/>
          <w:highlight w:val="none"/>
        </w:rPr>
      </w:pPr>
      <w:r>
        <w:rPr>
          <w:rFonts w:hint="eastAsia" w:ascii="宋体" w:hAnsi="宋体" w:cs="宋体"/>
          <w:sz w:val="24"/>
          <w:szCs w:val="24"/>
          <w:lang w:val="en-US" w:eastAsia="zh-CN"/>
        </w:rPr>
        <w:t>2、</w:t>
      </w:r>
      <w:r>
        <w:rPr>
          <w:rFonts w:hint="eastAsia" w:ascii="宋体" w:hAnsi="宋体" w:eastAsia="宋体" w:cs="宋体"/>
          <w:sz w:val="24"/>
          <w:szCs w:val="24"/>
        </w:rPr>
        <w:t>递交地点</w:t>
      </w:r>
      <w:r>
        <w:rPr>
          <w:rFonts w:hint="eastAsia" w:ascii="宋体" w:hAnsi="宋体" w:eastAsia="宋体" w:cs="宋体"/>
          <w:sz w:val="24"/>
          <w:szCs w:val="24"/>
          <w:lang w:eastAsia="zh-CN"/>
        </w:rPr>
        <w:t>：</w:t>
      </w:r>
      <w:r>
        <w:rPr>
          <w:rFonts w:hint="eastAsia" w:ascii="宋体" w:hAnsi="宋体" w:eastAsia="宋体" w:cs="宋体"/>
          <w:sz w:val="24"/>
          <w:szCs w:val="24"/>
        </w:rPr>
        <w:t>兰州交通大学尚德楼1204室（逾期送达或者未送达指定地点的</w:t>
      </w:r>
      <w:r>
        <w:rPr>
          <w:rFonts w:hint="eastAsia" w:ascii="宋体" w:hAnsi="宋体" w:cs="宋体"/>
          <w:sz w:val="24"/>
          <w:szCs w:val="24"/>
          <w:lang w:eastAsia="zh-CN"/>
        </w:rPr>
        <w:t>投标文件</w:t>
      </w:r>
      <w:r>
        <w:rPr>
          <w:rFonts w:hint="eastAsia" w:ascii="宋体" w:hAnsi="宋体" w:eastAsia="宋体" w:cs="宋体"/>
          <w:sz w:val="24"/>
          <w:szCs w:val="24"/>
        </w:rPr>
        <w:t>，采购人不予接收）</w:t>
      </w:r>
    </w:p>
    <w:p w14:paraId="30AEBECA">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b/>
          <w:bCs/>
          <w:sz w:val="24"/>
          <w:szCs w:val="24"/>
          <w:highlight w:val="none"/>
        </w:rPr>
      </w:pPr>
      <w:r>
        <w:rPr>
          <w:rFonts w:hint="eastAsia" w:ascii="宋体" w:hAnsi="宋体" w:cs="宋体"/>
          <w:b/>
          <w:bCs/>
          <w:sz w:val="24"/>
          <w:szCs w:val="24"/>
          <w:highlight w:val="none"/>
          <w:lang w:val="en-US" w:eastAsia="zh-CN"/>
        </w:rPr>
        <w:t>六</w:t>
      </w:r>
      <w:r>
        <w:rPr>
          <w:rFonts w:hint="eastAsia" w:ascii="宋体" w:hAnsi="宋体" w:eastAsia="宋体" w:cs="宋体"/>
          <w:b/>
          <w:bCs/>
          <w:sz w:val="24"/>
          <w:szCs w:val="24"/>
          <w:highlight w:val="none"/>
        </w:rPr>
        <w:t>、发布公告的媒介</w:t>
      </w:r>
    </w:p>
    <w:p w14:paraId="68B0794F">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jc w:val="both"/>
        <w:textAlignment w:val="baseline"/>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本公告在</w:t>
      </w:r>
      <w:r>
        <w:rPr>
          <w:rFonts w:hint="eastAsia" w:ascii="宋体" w:hAnsi="宋体" w:cs="宋体"/>
          <w:sz w:val="24"/>
          <w:szCs w:val="24"/>
          <w:highlight w:val="none"/>
          <w:lang w:eastAsia="zh-CN"/>
        </w:rPr>
        <w:t>兰州交通大学招标中心网页（https://zbzx.lzjtu.edu.cn）和甘肃经济信息网（https://www.gsei.com.cn）</w:t>
      </w:r>
      <w:r>
        <w:rPr>
          <w:rFonts w:hint="eastAsia" w:ascii="宋体" w:hAnsi="宋体" w:eastAsia="宋体" w:cs="宋体"/>
          <w:sz w:val="24"/>
          <w:szCs w:val="24"/>
          <w:highlight w:val="none"/>
        </w:rPr>
        <w:t>上发布，</w:t>
      </w:r>
      <w:r>
        <w:rPr>
          <w:rFonts w:hint="eastAsia" w:ascii="宋体" w:hAnsi="宋体" w:eastAsia="宋体" w:cs="宋体"/>
          <w:sz w:val="24"/>
          <w:szCs w:val="24"/>
          <w:highlight w:val="none"/>
          <w:lang w:eastAsia="zh-CN"/>
        </w:rPr>
        <w:t>其他网站转载发布的非完整版或修改版公告，由此产生的一切后果，均与采购人及采购代理机构无关，采购人及采购代理机构不承担任何法律责任。</w:t>
      </w:r>
    </w:p>
    <w:p w14:paraId="768CD274">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七</w:t>
      </w:r>
      <w:r>
        <w:rPr>
          <w:rFonts w:hint="eastAsia" w:ascii="宋体" w:hAnsi="宋体" w:eastAsia="宋体" w:cs="宋体"/>
          <w:b/>
          <w:bCs/>
          <w:sz w:val="24"/>
          <w:szCs w:val="24"/>
          <w:highlight w:val="none"/>
          <w:lang w:val="en-US" w:eastAsia="zh-CN"/>
        </w:rPr>
        <w:t>、</w:t>
      </w:r>
      <w:r>
        <w:rPr>
          <w:rFonts w:hint="eastAsia" w:ascii="宋体" w:hAnsi="宋体" w:cs="宋体"/>
          <w:b/>
          <w:bCs/>
          <w:sz w:val="24"/>
          <w:szCs w:val="24"/>
          <w:highlight w:val="none"/>
          <w:lang w:val="en-US" w:eastAsia="zh-CN"/>
        </w:rPr>
        <w:t>项目联系方式</w:t>
      </w:r>
    </w:p>
    <w:p w14:paraId="60A2F012">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采购人：兰州交通大学</w:t>
      </w:r>
    </w:p>
    <w:p w14:paraId="58733D19">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w:t>
      </w:r>
      <w:r>
        <w:rPr>
          <w:rFonts w:hint="eastAsia" w:ascii="宋体" w:hAnsi="宋体" w:cs="宋体"/>
          <w:sz w:val="24"/>
          <w:szCs w:val="24"/>
          <w:highlight w:val="none"/>
          <w:lang w:eastAsia="zh-CN"/>
        </w:rPr>
        <w:t>段老师</w:t>
      </w:r>
    </w:p>
    <w:p w14:paraId="754BDA33">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联系电话：</w:t>
      </w:r>
      <w:r>
        <w:rPr>
          <w:rFonts w:hint="eastAsia" w:ascii="宋体" w:hAnsi="宋体" w:cs="宋体"/>
          <w:sz w:val="24"/>
          <w:szCs w:val="24"/>
          <w:highlight w:val="none"/>
          <w:lang w:eastAsia="zh-CN"/>
        </w:rPr>
        <w:t>0931-4955687</w:t>
      </w:r>
    </w:p>
    <w:p w14:paraId="38AE9EDE">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地址：兰州市安宁区安宁西路88号</w:t>
      </w:r>
    </w:p>
    <w:p w14:paraId="1DD72199">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代理机构：甘肃中域纵达工程咨询有限公司</w:t>
      </w:r>
    </w:p>
    <w:p w14:paraId="5304FB23">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地址：甘肃省兰州市七里河区豪布斯卡企业总部基地1号楼1810-1811室</w:t>
      </w:r>
    </w:p>
    <w:p w14:paraId="48974A6B">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联系人：李军虎</w:t>
      </w:r>
    </w:p>
    <w:p w14:paraId="5F686252">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联系电话：18189595854</w:t>
      </w:r>
    </w:p>
    <w:p w14:paraId="298C879E">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jc w:val="right"/>
        <w:textAlignment w:val="baseline"/>
        <w:outlineLvl w:val="9"/>
        <w:rPr>
          <w:rFonts w:hint="eastAsia" w:ascii="宋体" w:hAnsi="宋体" w:eastAsia="宋体" w:cs="宋体"/>
          <w:sz w:val="24"/>
          <w:szCs w:val="24"/>
          <w:highlight w:val="none"/>
          <w:lang w:val="en-US" w:eastAsia="zh-CN"/>
        </w:rPr>
      </w:pPr>
    </w:p>
    <w:p w14:paraId="59F78EDA">
      <w:pPr>
        <w:keepNext w:val="0"/>
        <w:keepLines w:val="0"/>
        <w:pageBreakBefore w:val="0"/>
        <w:widowControl/>
        <w:kinsoku/>
        <w:wordWrap/>
        <w:overflowPunct w:val="0"/>
        <w:topLinePunct w:val="0"/>
        <w:autoSpaceDE w:val="0"/>
        <w:autoSpaceDN w:val="0"/>
        <w:bidi w:val="0"/>
        <w:adjustRightInd w:val="0"/>
        <w:snapToGrid w:val="0"/>
        <w:spacing w:line="440" w:lineRule="exact"/>
        <w:ind w:left="0" w:leftChars="0" w:right="0" w:firstLine="480" w:firstLineChars="200"/>
        <w:jc w:val="right"/>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甘肃中域纵达工程咨询有限公司</w:t>
      </w:r>
    </w:p>
    <w:p w14:paraId="7E843147">
      <w:pPr>
        <w:jc w:val="right"/>
      </w:pP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 xml:space="preserve">           2026年4月21</w:t>
      </w:r>
      <w:r>
        <w:rPr>
          <w:rFonts w:hint="eastAsia" w:ascii="宋体" w:hAnsi="宋体" w:eastAsia="宋体" w:cs="宋体"/>
          <w:sz w:val="24"/>
          <w:szCs w:val="24"/>
          <w:highlight w:val="none"/>
          <w:lang w:val="en-US" w:eastAsia="zh-CN"/>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62A6D"/>
    <w:multiLevelType w:val="multilevel"/>
    <w:tmpl w:val="C8A62A6D"/>
    <w:lvl w:ilvl="0" w:tentative="0">
      <w:start w:val="1"/>
      <w:numFmt w:val="chineseCounting"/>
      <w:suff w:val="space"/>
      <w:lvlText w:val="第%1章 "/>
      <w:lvlJc w:val="left"/>
      <w:pPr>
        <w:ind w:left="432" w:hanging="432"/>
      </w:pPr>
      <w:rPr>
        <w:rFonts w:hint="eastAsia"/>
        <w:sz w:val="36"/>
        <w:szCs w:val="36"/>
      </w:rPr>
    </w:lvl>
    <w:lvl w:ilvl="1" w:tentative="0">
      <w:start w:val="1"/>
      <w:numFmt w:val="decimal"/>
      <w:pStyle w:val="2"/>
      <w:isLgl/>
      <w:suff w:val="space"/>
      <w:lvlText w:val="%1.%2."/>
      <w:lvlJc w:val="left"/>
      <w:pPr>
        <w:ind w:left="575" w:hanging="575"/>
      </w:pPr>
      <w:rPr>
        <w:rFonts w:hint="eastAsia" w:ascii="宋体" w:hAnsi="宋体" w:eastAsia="宋体" w:cstheme="majorEastAsia"/>
        <w:sz w:val="24"/>
        <w:szCs w:val="24"/>
      </w:rPr>
    </w:lvl>
    <w:lvl w:ilvl="2" w:tentative="0">
      <w:start w:val="1"/>
      <w:numFmt w:val="decimal"/>
      <w:pStyle w:val="3"/>
      <w:isLgl/>
      <w:suff w:val="space"/>
      <w:lvlText w:val="%1.%2.%3."/>
      <w:lvlJc w:val="left"/>
      <w:pPr>
        <w:ind w:left="720" w:hanging="720"/>
      </w:pPr>
      <w:rPr>
        <w:rFonts w:hint="eastAsia" w:ascii="宋体" w:hAnsi="宋体" w:eastAsia="宋体" w:cs="宋体"/>
        <w:sz w:val="24"/>
        <w:szCs w:val="24"/>
      </w:rPr>
    </w:lvl>
    <w:lvl w:ilvl="3" w:tentative="0">
      <w:start w:val="1"/>
      <w:numFmt w:val="decimal"/>
      <w:pStyle w:val="4"/>
      <w:isLgl/>
      <w:suff w:val="space"/>
      <w:lvlText w:val="%1.%2.%3.%4."/>
      <w:lvlJc w:val="left"/>
      <w:pPr>
        <w:ind w:left="864" w:hanging="864"/>
      </w:pPr>
      <w:rPr>
        <w:rFonts w:hint="eastAsia" w:ascii="宋体" w:hAnsi="宋体" w:eastAsia="宋体" w:cstheme="majorEastAsia"/>
        <w:sz w:val="28"/>
        <w:szCs w:val="28"/>
      </w:rPr>
    </w:lvl>
    <w:lvl w:ilvl="4" w:tentative="0">
      <w:start w:val="1"/>
      <w:numFmt w:val="decimal"/>
      <w:pStyle w:val="5"/>
      <w:isLgl/>
      <w:suff w:val="space"/>
      <w:lvlText w:val="%1.%2.%3.%4.%5."/>
      <w:lvlJc w:val="left"/>
      <w:pPr>
        <w:ind w:left="1008" w:hanging="1008"/>
      </w:pPr>
      <w:rPr>
        <w:rFonts w:hint="eastAsia" w:ascii="宋体" w:hAnsi="宋体" w:eastAsia="宋体" w:cstheme="minorEastAsia"/>
      </w:rPr>
    </w:lvl>
    <w:lvl w:ilvl="5" w:tentative="0">
      <w:start w:val="1"/>
      <w:numFmt w:val="decimal"/>
      <w:isLgl/>
      <w:suff w:val="space"/>
      <w:lvlText w:val="%1.%2.%3.%4.%5.%6."/>
      <w:lvlJc w:val="left"/>
      <w:pPr>
        <w:ind w:left="1151" w:hanging="1151"/>
      </w:pPr>
      <w:rPr>
        <w:rFonts w:hint="eastAsia"/>
      </w:rPr>
    </w:lvl>
    <w:lvl w:ilvl="6" w:tentative="0">
      <w:start w:val="1"/>
      <w:numFmt w:val="decimal"/>
      <w:isLgl/>
      <w:suff w:val="space"/>
      <w:lvlText w:val="%1.%2.%3.%4.%5.%6.%7."/>
      <w:lvlJc w:val="left"/>
      <w:pPr>
        <w:ind w:left="1296" w:hanging="1296"/>
      </w:pPr>
      <w:rPr>
        <w:rFonts w:hint="eastAsia"/>
      </w:rPr>
    </w:lvl>
    <w:lvl w:ilvl="7" w:tentative="0">
      <w:start w:val="1"/>
      <w:numFmt w:val="decimal"/>
      <w:isLgl/>
      <w:suff w:val="space"/>
      <w:lvlText w:val="%1.%2.%3.%4.%5.%6.%7.%8."/>
      <w:lvlJc w:val="left"/>
      <w:pPr>
        <w:ind w:left="1440" w:hanging="1440"/>
      </w:pPr>
      <w:rPr>
        <w:rFonts w:hint="eastAsia"/>
      </w:rPr>
    </w:lvl>
    <w:lvl w:ilvl="8" w:tentative="0">
      <w:start w:val="1"/>
      <w:numFmt w:val="decimal"/>
      <w:isLgl/>
      <w:suff w:val="space"/>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AA29E9"/>
    <w:rsid w:val="0E5D6FD5"/>
    <w:rsid w:val="18836469"/>
    <w:rsid w:val="1FC8447A"/>
    <w:rsid w:val="37AA29E9"/>
    <w:rsid w:val="57002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75" w:hanging="575"/>
      <w:outlineLvl w:val="1"/>
    </w:pPr>
    <w:rPr>
      <w:rFonts w:ascii="Arial" w:hAnsi="Arial" w:eastAsia="黑体"/>
      <w:b/>
      <w:sz w:val="32"/>
    </w:rPr>
  </w:style>
  <w:style w:type="paragraph" w:styleId="3">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rFonts w:eastAsia="宋体" w:asciiTheme="minorAscii" w:hAnsiTheme="minorAscii"/>
      <w:b/>
      <w:sz w:val="24"/>
    </w:rPr>
  </w:style>
  <w:style w:type="paragraph" w:styleId="4">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宋体"/>
      <w:b/>
      <w:sz w:val="24"/>
    </w:rPr>
  </w:style>
  <w:style w:type="paragraph" w:styleId="5">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6">
    <w:name w:val="Body Text"/>
    <w:basedOn w:val="1"/>
    <w:next w:val="1"/>
    <w:link w:val="11"/>
    <w:qFormat/>
    <w:uiPriority w:val="0"/>
    <w:pPr>
      <w:autoSpaceDE w:val="0"/>
      <w:autoSpaceDN w:val="0"/>
      <w:spacing w:line="500" w:lineRule="exact"/>
      <w:ind w:firstLine="1720" w:firstLineChars="200"/>
      <w:jc w:val="left"/>
    </w:pPr>
    <w:rPr>
      <w:rFonts w:ascii="宋体" w:hAnsi="宋体" w:eastAsia="宋体" w:cs="宋体"/>
      <w:kern w:val="0"/>
      <w:sz w:val="24"/>
      <w:shd w:val="clear" w:fill="F6F6F6"/>
      <w:lang w:eastAsia="en-US"/>
    </w:rPr>
  </w:style>
  <w:style w:type="paragraph" w:styleId="7">
    <w:name w:val="Plain Text"/>
    <w:basedOn w:val="1"/>
    <w:next w:val="1"/>
    <w:qFormat/>
    <w:uiPriority w:val="0"/>
    <w:rPr>
      <w:rFonts w:ascii="宋体" w:hAnsi="Courier New"/>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正文文本 Char"/>
    <w:link w:val="6"/>
    <w:qFormat/>
    <w:uiPriority w:val="99"/>
    <w:rPr>
      <w:rFonts w:ascii="宋体" w:hAnsi="宋体" w:eastAsia="宋体" w:cs="宋体"/>
      <w:spacing w:val="0"/>
      <w:kern w:val="0"/>
      <w:sz w:val="24"/>
      <w:szCs w:val="24"/>
      <w:shd w:val="clear" w:fill="F6F6F6"/>
      <w:vertAlign w:val="baseline"/>
      <w:lang w:val="en-US" w:eastAsia="en-US" w:bidi="ar-SA"/>
    </w:r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paragraph" w:customStyle="1" w:styleId="13">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1928</Words>
  <Characters>2229</Characters>
  <Lines>0</Lines>
  <Paragraphs>0</Paragraphs>
  <TotalTime>0</TotalTime>
  <ScaleCrop>false</ScaleCrop>
  <LinksUpToDate>false</LinksUpToDate>
  <CharactersWithSpaces>2283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2026-04-21T06:22:00Z</dcterms:created>
  <dc:creator>Junhung   Li</dc:creator>
  <cp:lastModifiedBy>Junhung   Li</cp:lastModifiedBy>
  <dcterms:modified xsi:type="dcterms:W3CDTF">2026-04-21T06:26:40Z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6028A6FC51C64CA991B5E4E613ABCE17_11</vt:lpwstr>
  </property>
  <property fmtid="{D5CDD505-2E9C-101B-9397-08002B2CF9AE}" pid="4" name="KSOTemplateDocerSaveRecord">
    <vt:lpwstr>eyJoZGlkIjoiMDkxOWFhZmM1YWI1N2M4YjQ0OTNiZTkwNWIzMGUxYjAiLCJ1c2VySWQiOiIzMjg1OTY3NDUifQ==</vt:lpwstr>
  </property>
</Properties>
</file>