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568A0">
      <w:pPr>
        <w:pStyle w:val="2"/>
        <w:adjustRightInd w:val="0"/>
        <w:snapToGrid w:val="0"/>
        <w:spacing w:line="360" w:lineRule="auto"/>
        <w:ind w:firstLine="2891" w:firstLineChars="900"/>
        <w:jc w:val="left"/>
        <w:rPr>
          <w:color w:val="auto"/>
          <w:highlight w:val="none"/>
          <w:lang w:val="zh-CN"/>
        </w:rPr>
      </w:pPr>
      <w:bookmarkStart w:id="0" w:name="_Toc15420"/>
      <w:bookmarkStart w:id="1" w:name="_Toc40954818"/>
      <w:bookmarkStart w:id="2" w:name="_Toc13489"/>
      <w:bookmarkStart w:id="3" w:name="_Toc1290"/>
      <w:bookmarkStart w:id="4" w:name="_Toc27802"/>
      <w:bookmarkStart w:id="5" w:name="_Toc32363"/>
      <w:bookmarkStart w:id="6" w:name="_Toc25075"/>
      <w:bookmarkStart w:id="7" w:name="_Toc28557"/>
      <w:bookmarkStart w:id="8" w:name="_Toc169885790"/>
      <w:bookmarkStart w:id="9" w:name="_Toc11505"/>
      <w:bookmarkStart w:id="10" w:name="_Toc18845"/>
      <w:bookmarkStart w:id="11" w:name="_Toc13753"/>
      <w:r>
        <w:rPr>
          <w:rFonts w:hint="eastAsia" w:ascii="仿宋" w:hAnsi="仿宋" w:eastAsia="仿宋"/>
          <w:color w:val="auto"/>
          <w:highlight w:val="none"/>
        </w:rPr>
        <w:t>技术条款及要求</w:t>
      </w:r>
      <w:bookmarkEnd w:id="0"/>
      <w:bookmarkEnd w:id="1"/>
      <w:bookmarkEnd w:id="2"/>
      <w:bookmarkEnd w:id="3"/>
      <w:bookmarkEnd w:id="4"/>
      <w:bookmarkEnd w:id="5"/>
      <w:bookmarkEnd w:id="6"/>
      <w:bookmarkEnd w:id="7"/>
      <w:bookmarkEnd w:id="8"/>
      <w:bookmarkEnd w:id="9"/>
      <w:bookmarkEnd w:id="10"/>
      <w:bookmarkEnd w:id="11"/>
      <w:bookmarkStart w:id="12" w:name="_Toc86675160"/>
    </w:p>
    <w:bookmarkEnd w:id="12"/>
    <w:p w14:paraId="61F37E5A">
      <w:pPr>
        <w:keepNext w:val="0"/>
        <w:keepLines w:val="0"/>
        <w:pageBreakBefore w:val="0"/>
        <w:widowControl/>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val="en-US" w:eastAsia="zh-CN"/>
        </w:rPr>
      </w:pPr>
      <w:bookmarkStart w:id="13" w:name="_Toc80841058"/>
      <w:r>
        <w:rPr>
          <w:rFonts w:hint="eastAsia" w:ascii="仿宋" w:hAnsi="仿宋" w:eastAsia="仿宋" w:cs="仿宋"/>
          <w:color w:val="auto"/>
          <w:sz w:val="30"/>
          <w:szCs w:val="30"/>
          <w:highlight w:val="none"/>
          <w:lang w:val="en-US" w:eastAsia="zh-CN"/>
        </w:rPr>
        <w:t>根据《中华人民共和国政府采购法》《中华人民共和国政府采购法实施条例》《政府采购需求管理办法》等相关法律法规及前期需求调查情况，编制本项目的采购需求（技术要求、商务要求）内容如下：</w:t>
      </w:r>
      <w:bookmarkEnd w:id="13"/>
    </w:p>
    <w:p w14:paraId="11984732">
      <w:pPr>
        <w:pStyle w:val="3"/>
        <w:spacing w:before="0" w:beforeAutospacing="0" w:after="0" w:afterAutospacing="0"/>
        <w:rPr>
          <w:rFonts w:cs="宋体"/>
          <w:bCs/>
          <w:color w:val="auto"/>
          <w:kern w:val="2"/>
          <w:sz w:val="28"/>
          <w:szCs w:val="28"/>
          <w:highlight w:val="none"/>
        </w:rPr>
      </w:pPr>
      <w:bookmarkStart w:id="14" w:name="_Toc160187005"/>
      <w:r>
        <w:rPr>
          <w:rFonts w:cs="宋体"/>
          <w:bCs/>
          <w:color w:val="auto"/>
          <w:kern w:val="2"/>
          <w:sz w:val="28"/>
          <w:szCs w:val="28"/>
          <w:highlight w:val="none"/>
        </w:rPr>
        <w:t>一、</w:t>
      </w:r>
      <w:r>
        <w:rPr>
          <w:rFonts w:hint="eastAsia" w:cs="宋体"/>
          <w:bCs/>
          <w:color w:val="auto"/>
          <w:kern w:val="2"/>
          <w:sz w:val="28"/>
          <w:szCs w:val="28"/>
          <w:highlight w:val="none"/>
        </w:rPr>
        <w:t>项目概况</w:t>
      </w:r>
      <w:bookmarkEnd w:id="14"/>
    </w:p>
    <w:p w14:paraId="03AC72F9">
      <w:pPr>
        <w:keepNext w:val="0"/>
        <w:keepLines w:val="0"/>
        <w:pageBreakBefore w:val="0"/>
        <w:widowControl/>
        <w:kinsoku/>
        <w:wordWrap/>
        <w:overflowPunct/>
        <w:topLinePunct w:val="0"/>
        <w:autoSpaceDE/>
        <w:autoSpaceDN/>
        <w:bidi w:val="0"/>
        <w:adjustRightInd/>
        <w:snapToGrid/>
        <w:spacing w:line="240" w:lineRule="auto"/>
        <w:ind w:firstLine="602" w:firstLineChars="200"/>
        <w:textAlignment w:val="auto"/>
        <w:rPr>
          <w:rFonts w:hint="eastAsia" w:ascii="仿宋" w:hAnsi="仿宋" w:eastAsia="仿宋" w:cs="仿宋"/>
          <w:color w:val="auto"/>
          <w:sz w:val="30"/>
          <w:szCs w:val="30"/>
          <w:highlight w:val="none"/>
          <w:lang w:val="en-US" w:eastAsia="zh-CN"/>
        </w:rPr>
      </w:pPr>
      <w:bookmarkStart w:id="15" w:name="_Hlk80819861"/>
      <w:r>
        <w:rPr>
          <w:rFonts w:hint="eastAsia" w:ascii="仿宋" w:hAnsi="仿宋" w:eastAsia="仿宋" w:cs="仿宋"/>
          <w:b/>
          <w:bCs/>
          <w:color w:val="auto"/>
          <w:sz w:val="30"/>
          <w:szCs w:val="30"/>
          <w:highlight w:val="none"/>
          <w:lang w:val="en-US" w:eastAsia="zh-CN"/>
        </w:rPr>
        <w:t>项目名称：</w:t>
      </w:r>
      <w:r>
        <w:rPr>
          <w:rFonts w:hint="eastAsia" w:ascii="仿宋" w:hAnsi="仿宋" w:eastAsia="仿宋" w:cs="仿宋"/>
          <w:color w:val="auto"/>
          <w:sz w:val="30"/>
          <w:szCs w:val="30"/>
          <w:highlight w:val="none"/>
          <w:lang w:val="en-US" w:eastAsia="zh-CN"/>
        </w:rPr>
        <w:t>甘肃省地震局地震预警信息发布系统-地震预警液晶终端（32寸壁挂终端）</w:t>
      </w:r>
    </w:p>
    <w:p w14:paraId="481ECB9E">
      <w:pPr>
        <w:keepNext w:val="0"/>
        <w:keepLines w:val="0"/>
        <w:pageBreakBefore w:val="0"/>
        <w:widowControl/>
        <w:kinsoku/>
        <w:wordWrap/>
        <w:overflowPunct/>
        <w:topLinePunct w:val="0"/>
        <w:autoSpaceDE/>
        <w:autoSpaceDN/>
        <w:bidi w:val="0"/>
        <w:adjustRightInd/>
        <w:snapToGrid/>
        <w:spacing w:line="240" w:lineRule="auto"/>
        <w:ind w:firstLine="602" w:firstLineChars="200"/>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预算金额：</w:t>
      </w:r>
      <w:r>
        <w:rPr>
          <w:rFonts w:hint="eastAsia" w:ascii="仿宋" w:hAnsi="仿宋" w:eastAsia="仿宋" w:cs="仿宋"/>
          <w:color w:val="auto"/>
          <w:sz w:val="30"/>
          <w:szCs w:val="30"/>
          <w:highlight w:val="none"/>
          <w:lang w:val="en-US" w:eastAsia="zh-CN"/>
        </w:rPr>
        <w:t>359.89万元</w:t>
      </w:r>
    </w:p>
    <w:p w14:paraId="1A5392E0">
      <w:pPr>
        <w:keepNext w:val="0"/>
        <w:keepLines w:val="0"/>
        <w:pageBreakBefore w:val="0"/>
        <w:widowControl/>
        <w:kinsoku/>
        <w:wordWrap/>
        <w:overflowPunct/>
        <w:topLinePunct w:val="0"/>
        <w:autoSpaceDE/>
        <w:autoSpaceDN/>
        <w:bidi w:val="0"/>
        <w:adjustRightInd/>
        <w:snapToGrid/>
        <w:spacing w:line="240" w:lineRule="auto"/>
        <w:ind w:firstLine="602"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最高限价</w:t>
      </w:r>
      <w:r>
        <w:rPr>
          <w:rFonts w:hint="eastAsia" w:ascii="仿宋" w:hAnsi="仿宋" w:eastAsia="仿宋" w:cs="仿宋"/>
          <w:color w:val="auto"/>
          <w:sz w:val="30"/>
          <w:szCs w:val="30"/>
          <w:highlight w:val="none"/>
          <w:lang w:val="en-US" w:eastAsia="zh-CN"/>
        </w:rPr>
        <w:t>：359.89万元</w:t>
      </w:r>
    </w:p>
    <w:bookmarkEnd w:id="15"/>
    <w:p w14:paraId="2A4E279D">
      <w:pPr>
        <w:pStyle w:val="3"/>
        <w:spacing w:before="0" w:beforeAutospacing="0" w:after="0" w:afterAutospacing="0"/>
        <w:rPr>
          <w:rFonts w:ascii="宋体" w:hAnsi="宋体" w:eastAsia="宋体" w:cs="宋体"/>
          <w:bCs/>
          <w:color w:val="auto"/>
          <w:kern w:val="2"/>
          <w:sz w:val="28"/>
          <w:szCs w:val="28"/>
          <w:highlight w:val="none"/>
        </w:rPr>
      </w:pPr>
      <w:bookmarkStart w:id="16" w:name="_Toc160187006"/>
      <w:r>
        <w:rPr>
          <w:rFonts w:hint="eastAsia" w:ascii="宋体" w:hAnsi="宋体" w:eastAsia="宋体" w:cs="宋体"/>
          <w:bCs/>
          <w:color w:val="auto"/>
          <w:kern w:val="2"/>
          <w:sz w:val="28"/>
          <w:szCs w:val="28"/>
          <w:highlight w:val="none"/>
        </w:rPr>
        <w:t>二、技术要求（服务标准和内容）</w:t>
      </w:r>
      <w:bookmarkEnd w:id="16"/>
    </w:p>
    <w:p w14:paraId="455BC518">
      <w:pPr>
        <w:keepNext w:val="0"/>
        <w:keepLines w:val="0"/>
        <w:pageBreakBefore w:val="0"/>
        <w:widowControl/>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 技术指标 （项目负责人对技术指标真实有效性负直接责任）</w:t>
      </w:r>
    </w:p>
    <w:p w14:paraId="44D69E17">
      <w:pPr>
        <w:keepNext w:val="0"/>
        <w:keepLines w:val="0"/>
        <w:pageBreakBefore w:val="0"/>
        <w:widowControl/>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 xml:space="preserve">  采购清单：</w:t>
      </w:r>
    </w:p>
    <w:tbl>
      <w:tblPr>
        <w:tblStyle w:val="4"/>
        <w:tblW w:w="5660" w:type="pct"/>
        <w:tblInd w:w="-6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9"/>
        <w:gridCol w:w="1451"/>
        <w:gridCol w:w="552"/>
        <w:gridCol w:w="1959"/>
        <w:gridCol w:w="1128"/>
        <w:gridCol w:w="858"/>
        <w:gridCol w:w="1547"/>
        <w:gridCol w:w="1583"/>
      </w:tblGrid>
      <w:tr w14:paraId="1FD8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7280">
            <w:pPr>
              <w:keepNext w:val="0"/>
              <w:keepLines w:val="0"/>
              <w:widowControl/>
              <w:suppressLineNumbers w:val="0"/>
              <w:jc w:val="center"/>
              <w:textAlignment w:val="center"/>
              <w:rPr>
                <w:rFonts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标段</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C082">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标段名称</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0564">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序号</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1F13">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采购内容名称</w:t>
            </w: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D535">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数量</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B3BF">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单位</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9293">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分包金额（万元）</w:t>
            </w:r>
          </w:p>
        </w:tc>
        <w:tc>
          <w:tcPr>
            <w:tcW w:w="8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03EE">
            <w:pPr>
              <w:keepNext w:val="0"/>
              <w:keepLines w:val="0"/>
              <w:widowControl/>
              <w:suppressLineNumbers w:val="0"/>
              <w:jc w:val="center"/>
              <w:textAlignment w:val="center"/>
              <w:rPr>
                <w:rFonts w:hint="eastAsia" w:ascii="仿宋" w:hAnsi="仿宋" w:eastAsia="仿宋" w:cs="仿宋"/>
                <w:b/>
                <w:bCs/>
                <w:i w:val="0"/>
                <w:iCs w:val="0"/>
                <w:color w:val="auto"/>
                <w:sz w:val="21"/>
                <w:szCs w:val="21"/>
                <w:highlight w:val="none"/>
                <w:u w:val="none"/>
              </w:rPr>
            </w:pPr>
            <w:r>
              <w:rPr>
                <w:rFonts w:hint="eastAsia" w:ascii="仿宋" w:hAnsi="仿宋" w:eastAsia="仿宋" w:cs="仿宋"/>
                <w:b/>
                <w:bCs/>
                <w:i w:val="0"/>
                <w:iCs w:val="0"/>
                <w:color w:val="auto"/>
                <w:kern w:val="0"/>
                <w:sz w:val="21"/>
                <w:szCs w:val="21"/>
                <w:highlight w:val="none"/>
                <w:u w:val="none"/>
                <w:lang w:val="en-US" w:eastAsia="zh-CN" w:bidi="ar"/>
              </w:rPr>
              <w:t>备注</w:t>
            </w:r>
          </w:p>
        </w:tc>
      </w:tr>
      <w:tr w14:paraId="7B9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BCB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49EDD">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甘肃省地震局地震预警信息发布系统</w:t>
            </w:r>
            <w:bookmarkStart w:id="22" w:name="_GoBack"/>
            <w:bookmarkEnd w:id="22"/>
            <w:r>
              <w:rPr>
                <w:rFonts w:hint="eastAsia" w:ascii="仿宋" w:hAnsi="仿宋" w:eastAsia="仿宋" w:cs="仿宋"/>
                <w:i w:val="0"/>
                <w:iCs w:val="0"/>
                <w:color w:val="auto"/>
                <w:kern w:val="0"/>
                <w:sz w:val="21"/>
                <w:szCs w:val="21"/>
                <w:highlight w:val="none"/>
                <w:u w:val="none"/>
                <w:lang w:val="en-US" w:eastAsia="zh-CN" w:bidi="ar"/>
              </w:rPr>
              <w:t>项目</w:t>
            </w:r>
          </w:p>
        </w:tc>
        <w:tc>
          <w:tcPr>
            <w:tcW w:w="285" w:type="pct"/>
            <w:tcBorders>
              <w:top w:val="single" w:color="000000" w:sz="4" w:space="0"/>
              <w:left w:val="single" w:color="000000" w:sz="4" w:space="0"/>
              <w:right w:val="single" w:color="000000" w:sz="4" w:space="0"/>
            </w:tcBorders>
            <w:shd w:val="clear" w:color="auto" w:fill="auto"/>
            <w:noWrap/>
            <w:vAlign w:val="center"/>
          </w:tcPr>
          <w:p w14:paraId="4BE915D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1015" w:type="pct"/>
            <w:tcBorders>
              <w:top w:val="single" w:color="000000" w:sz="4" w:space="0"/>
              <w:left w:val="single" w:color="000000" w:sz="4" w:space="0"/>
              <w:right w:val="single" w:color="000000" w:sz="4" w:space="0"/>
            </w:tcBorders>
            <w:shd w:val="clear" w:color="auto" w:fill="auto"/>
            <w:noWrap/>
            <w:vAlign w:val="center"/>
          </w:tcPr>
          <w:p w14:paraId="66FBB914">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地震预警液晶终端</w:t>
            </w:r>
          </w:p>
          <w:p w14:paraId="4E79683E">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（32寸壁挂终端）</w:t>
            </w:r>
          </w:p>
        </w:tc>
        <w:tc>
          <w:tcPr>
            <w:tcW w:w="584" w:type="pct"/>
            <w:tcBorders>
              <w:top w:val="single" w:color="000000" w:sz="4" w:space="0"/>
              <w:left w:val="single" w:color="000000" w:sz="4" w:space="0"/>
              <w:right w:val="single" w:color="000000" w:sz="4" w:space="0"/>
            </w:tcBorders>
            <w:shd w:val="clear" w:color="auto" w:fill="auto"/>
            <w:noWrap/>
            <w:vAlign w:val="center"/>
          </w:tcPr>
          <w:p w14:paraId="65D91E12">
            <w:pPr>
              <w:keepNext w:val="0"/>
              <w:keepLines w:val="0"/>
              <w:widowControl/>
              <w:suppressLineNumbers w:val="0"/>
              <w:jc w:val="center"/>
              <w:textAlignment w:val="center"/>
              <w:rPr>
                <w:rFonts w:hint="default"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493</w:t>
            </w:r>
          </w:p>
        </w:tc>
        <w:tc>
          <w:tcPr>
            <w:tcW w:w="444" w:type="pct"/>
            <w:tcBorders>
              <w:top w:val="single" w:color="000000" w:sz="4" w:space="0"/>
              <w:left w:val="single" w:color="000000" w:sz="4" w:space="0"/>
              <w:right w:val="single" w:color="000000" w:sz="4" w:space="0"/>
            </w:tcBorders>
            <w:shd w:val="clear" w:color="auto" w:fill="auto"/>
            <w:noWrap/>
            <w:vAlign w:val="center"/>
          </w:tcPr>
          <w:p w14:paraId="6B5D68F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套</w:t>
            </w:r>
          </w:p>
        </w:tc>
        <w:tc>
          <w:tcPr>
            <w:tcW w:w="801" w:type="pct"/>
            <w:tcBorders>
              <w:top w:val="single" w:color="000000" w:sz="4" w:space="0"/>
              <w:left w:val="single" w:color="000000" w:sz="4" w:space="0"/>
              <w:right w:val="single" w:color="000000" w:sz="4" w:space="0"/>
            </w:tcBorders>
            <w:shd w:val="clear" w:color="auto" w:fill="auto"/>
            <w:noWrap/>
            <w:vAlign w:val="center"/>
          </w:tcPr>
          <w:p w14:paraId="13FEE015">
            <w:pPr>
              <w:keepNext w:val="0"/>
              <w:keepLines w:val="0"/>
              <w:widowControl/>
              <w:suppressLineNumbers w:val="0"/>
              <w:jc w:val="center"/>
              <w:textAlignment w:val="center"/>
              <w:rPr>
                <w:rFonts w:hint="default"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359.89</w:t>
            </w:r>
          </w:p>
        </w:tc>
        <w:tc>
          <w:tcPr>
            <w:tcW w:w="8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D59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须安装，包含8年通讯费、运维服务(运行率95%以上)，一次免费移机，8年质保</w:t>
            </w:r>
          </w:p>
        </w:tc>
      </w:tr>
      <w:tr w14:paraId="7861E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7E09">
            <w:pPr>
              <w:jc w:val="center"/>
              <w:rPr>
                <w:rFonts w:hint="eastAsia" w:ascii="仿宋" w:hAnsi="仿宋" w:eastAsia="仿宋" w:cs="仿宋"/>
                <w:i w:val="0"/>
                <w:iCs w:val="0"/>
                <w:color w:val="auto"/>
                <w:sz w:val="21"/>
                <w:szCs w:val="21"/>
                <w:highlight w:val="none"/>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6D54E">
            <w:pPr>
              <w:jc w:val="center"/>
              <w:rPr>
                <w:rFonts w:hint="default"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总计</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E359">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59D6">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2BE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4E31">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1ABC">
            <w:pPr>
              <w:keepNext w:val="0"/>
              <w:keepLines w:val="0"/>
              <w:widowControl/>
              <w:suppressLineNumbers w:val="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359.89</w:t>
            </w:r>
          </w:p>
        </w:tc>
        <w:tc>
          <w:tcPr>
            <w:tcW w:w="8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0F54">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bl>
    <w:p w14:paraId="350B184F">
      <w:pPr>
        <w:widowControl w:val="0"/>
        <w:kinsoku w:val="0"/>
        <w:autoSpaceDE w:val="0"/>
        <w:autoSpaceDN w:val="0"/>
        <w:adjustRightInd w:val="0"/>
        <w:snapToGrid w:val="0"/>
        <w:spacing w:before="240" w:beforeLines="100" w:line="360" w:lineRule="auto"/>
        <w:ind w:firstLine="482" w:firstLineChars="200"/>
        <w:jc w:val="both"/>
        <w:textAlignment w:val="baseline"/>
        <w:rPr>
          <w:rFonts w:hint="eastAsia" w:ascii="仿宋" w:hAnsi="仿宋" w:eastAsia="仿宋" w:cs="仿宋"/>
          <w:b/>
          <w:bCs/>
          <w:color w:val="auto"/>
          <w:kern w:val="2"/>
          <w:szCs w:val="24"/>
          <w:highlight w:val="none"/>
        </w:rPr>
      </w:pPr>
      <w:r>
        <w:rPr>
          <w:rFonts w:hint="eastAsia" w:ascii="仿宋" w:hAnsi="仿宋" w:eastAsia="仿宋" w:cs="仿宋"/>
          <w:b/>
          <w:bCs/>
          <w:color w:val="auto"/>
          <w:kern w:val="2"/>
          <w:szCs w:val="24"/>
          <w:highlight w:val="none"/>
        </w:rPr>
        <w:t>技术指标：</w:t>
      </w:r>
      <w:r>
        <w:rPr>
          <w:rFonts w:hint="eastAsia" w:ascii="仿宋" w:hAnsi="仿宋" w:eastAsia="仿宋" w:cs="仿宋"/>
          <w:b/>
          <w:bCs/>
          <w:color w:val="auto"/>
          <w:kern w:val="2"/>
          <w:szCs w:val="24"/>
          <w:highlight w:val="none"/>
          <w:lang w:val="en-US" w:eastAsia="zh-CN"/>
        </w:rPr>
        <w:t>加注</w:t>
      </w:r>
      <w:r>
        <w:rPr>
          <w:rFonts w:hint="eastAsia" w:ascii="仿宋" w:hAnsi="仿宋" w:eastAsia="仿宋" w:cs="仿宋"/>
          <w:b/>
          <w:bCs/>
          <w:color w:val="auto"/>
          <w:kern w:val="2"/>
          <w:szCs w:val="24"/>
          <w:highlight w:val="none"/>
        </w:rPr>
        <w:t>“</w:t>
      </w:r>
      <w:r>
        <w:rPr>
          <w:rFonts w:hint="eastAsia" w:ascii="宋体" w:hAnsi="宋体" w:eastAsia="宋体" w:cs="宋体"/>
          <w:b/>
          <w:bCs/>
          <w:color w:val="auto"/>
          <w:kern w:val="2"/>
          <w:szCs w:val="24"/>
          <w:highlight w:val="none"/>
        </w:rPr>
        <w:t>●</w:t>
      </w:r>
      <w:r>
        <w:rPr>
          <w:rFonts w:hint="eastAsia" w:ascii="仿宋" w:hAnsi="仿宋" w:eastAsia="仿宋" w:cs="仿宋"/>
          <w:b/>
          <w:bCs/>
          <w:color w:val="auto"/>
          <w:kern w:val="2"/>
          <w:szCs w:val="24"/>
          <w:highlight w:val="none"/>
        </w:rPr>
        <w:t>”</w:t>
      </w:r>
      <w:r>
        <w:rPr>
          <w:rFonts w:hint="eastAsia" w:ascii="仿宋" w:hAnsi="仿宋" w:eastAsia="仿宋" w:cs="仿宋"/>
          <w:b/>
          <w:bCs/>
          <w:color w:val="auto"/>
          <w:kern w:val="2"/>
          <w:szCs w:val="24"/>
          <w:highlight w:val="none"/>
          <w:lang w:val="en-US" w:eastAsia="zh-CN"/>
        </w:rPr>
        <w:t>号条款</w:t>
      </w:r>
      <w:r>
        <w:rPr>
          <w:rFonts w:hint="eastAsia" w:ascii="仿宋" w:hAnsi="仿宋" w:eastAsia="仿宋" w:cs="仿宋"/>
          <w:b/>
          <w:bCs/>
          <w:color w:val="auto"/>
          <w:kern w:val="2"/>
          <w:szCs w:val="24"/>
          <w:highlight w:val="none"/>
        </w:rPr>
        <w:t>为关键指标、</w:t>
      </w:r>
      <w:r>
        <w:rPr>
          <w:rFonts w:hint="eastAsia" w:ascii="仿宋" w:hAnsi="仿宋" w:eastAsia="仿宋" w:cs="仿宋"/>
          <w:b/>
          <w:bCs/>
          <w:color w:val="auto"/>
          <w:kern w:val="2"/>
          <w:szCs w:val="24"/>
          <w:highlight w:val="none"/>
          <w:lang w:val="en-US" w:eastAsia="zh-CN"/>
        </w:rPr>
        <w:t>加注</w:t>
      </w:r>
      <w:r>
        <w:rPr>
          <w:rFonts w:hint="eastAsia" w:ascii="仿宋" w:hAnsi="仿宋" w:eastAsia="仿宋" w:cs="仿宋"/>
          <w:b/>
          <w:bCs/>
          <w:color w:val="auto"/>
          <w:kern w:val="2"/>
          <w:szCs w:val="24"/>
          <w:highlight w:val="none"/>
        </w:rPr>
        <w:t>“</w:t>
      </w:r>
      <w:r>
        <w:rPr>
          <w:rFonts w:hint="eastAsia" w:ascii="宋体" w:hAnsi="宋体" w:eastAsia="宋体" w:cs="宋体"/>
          <w:b/>
          <w:bCs/>
          <w:color w:val="auto"/>
          <w:kern w:val="2"/>
          <w:szCs w:val="24"/>
          <w:highlight w:val="none"/>
        </w:rPr>
        <w:t>■</w:t>
      </w:r>
      <w:r>
        <w:rPr>
          <w:rFonts w:hint="eastAsia" w:ascii="仿宋" w:hAnsi="仿宋" w:eastAsia="仿宋" w:cs="仿宋"/>
          <w:b/>
          <w:bCs/>
          <w:color w:val="auto"/>
          <w:kern w:val="2"/>
          <w:szCs w:val="24"/>
          <w:highlight w:val="none"/>
        </w:rPr>
        <w:t>”</w:t>
      </w:r>
      <w:r>
        <w:rPr>
          <w:rFonts w:hint="eastAsia" w:ascii="仿宋" w:hAnsi="仿宋" w:eastAsia="仿宋" w:cs="仿宋"/>
          <w:b/>
          <w:bCs/>
          <w:color w:val="auto"/>
          <w:kern w:val="2"/>
          <w:szCs w:val="24"/>
          <w:highlight w:val="none"/>
          <w:lang w:val="en-US" w:eastAsia="zh-CN"/>
        </w:rPr>
        <w:t>号</w:t>
      </w:r>
      <w:r>
        <w:rPr>
          <w:rFonts w:hint="eastAsia" w:ascii="仿宋" w:hAnsi="仿宋" w:eastAsia="仿宋" w:cs="仿宋"/>
          <w:b/>
          <w:bCs/>
          <w:color w:val="auto"/>
          <w:kern w:val="2"/>
          <w:szCs w:val="24"/>
          <w:highlight w:val="none"/>
        </w:rPr>
        <w:t>为重要指标，</w:t>
      </w:r>
      <w:r>
        <w:rPr>
          <w:rFonts w:hint="eastAsia" w:ascii="仿宋" w:hAnsi="仿宋" w:eastAsia="仿宋" w:cs="仿宋"/>
          <w:b/>
          <w:bCs/>
          <w:color w:val="auto"/>
          <w:kern w:val="2"/>
          <w:szCs w:val="24"/>
          <w:highlight w:val="none"/>
          <w:lang w:val="en-US" w:eastAsia="zh-CN"/>
        </w:rPr>
        <w:t>其他均为</w:t>
      </w:r>
      <w:r>
        <w:rPr>
          <w:rFonts w:hint="eastAsia" w:ascii="仿宋" w:hAnsi="仿宋" w:eastAsia="仿宋" w:cs="仿宋"/>
          <w:b/>
          <w:bCs/>
          <w:color w:val="auto"/>
          <w:kern w:val="2"/>
          <w:szCs w:val="24"/>
          <w:highlight w:val="none"/>
        </w:rPr>
        <w:t>一般指标。</w:t>
      </w:r>
    </w:p>
    <w:tbl>
      <w:tblPr>
        <w:tblStyle w:val="4"/>
        <w:tblW w:w="56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4"/>
        <w:gridCol w:w="1317"/>
        <w:gridCol w:w="756"/>
        <w:gridCol w:w="2472"/>
        <w:gridCol w:w="4053"/>
        <w:gridCol w:w="1234"/>
      </w:tblGrid>
      <w:tr w14:paraId="6C1E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2FED5">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0"/>
                <w:sz w:val="21"/>
                <w:szCs w:val="21"/>
                <w:highlight w:val="none"/>
                <w:lang w:val="en-US" w:eastAsia="zh-CN" w:bidi="ar"/>
              </w:rPr>
              <w:t>序号</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CE3C3">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0"/>
                <w:sz w:val="21"/>
                <w:szCs w:val="21"/>
                <w:highlight w:val="none"/>
                <w:lang w:val="en-US" w:eastAsia="zh-CN" w:bidi="ar"/>
              </w:rPr>
              <w:t>名称</w:t>
            </w: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A75C4">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0"/>
                <w:sz w:val="21"/>
                <w:szCs w:val="21"/>
                <w:highlight w:val="none"/>
                <w:lang w:val="en-US" w:eastAsia="zh-CN" w:bidi="ar"/>
              </w:rPr>
              <w:t>指标类型</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16607">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0"/>
                <w:sz w:val="21"/>
                <w:szCs w:val="21"/>
                <w:highlight w:val="none"/>
                <w:lang w:val="en-US" w:eastAsia="zh-CN" w:bidi="ar"/>
              </w:rPr>
              <w:t>技术要求</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A8DE2">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评价标准</w:t>
            </w:r>
          </w:p>
        </w:tc>
        <w:tc>
          <w:tcPr>
            <w:tcW w:w="12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03665">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0"/>
                <w:sz w:val="21"/>
                <w:szCs w:val="21"/>
                <w:highlight w:val="none"/>
                <w:lang w:val="en-US" w:eastAsia="zh-CN" w:bidi="ar"/>
              </w:rPr>
              <w:t>备注</w:t>
            </w:r>
          </w:p>
        </w:tc>
      </w:tr>
      <w:tr w14:paraId="0F95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7DBFA">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lang w:val="en-US" w:eastAsia="zh-CN" w:bidi="ar"/>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55818">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lang w:val="en-US" w:eastAsia="zh-CN" w:bidi="ar"/>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B19E0">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lang w:val="en-US" w:eastAsia="zh-CN" w:bidi="ar"/>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70C0F">
            <w:pPr>
              <w:keepNext w:val="0"/>
              <w:keepLines w:val="0"/>
              <w:widowControl/>
              <w:suppressLineNumbers w:val="0"/>
              <w:spacing w:before="0" w:beforeAutospacing="0" w:after="0" w:afterAutospacing="0" w:line="340" w:lineRule="exact"/>
              <w:ind w:left="0" w:right="0" w:firstLine="0" w:firstLineChars="0"/>
              <w:jc w:val="center"/>
              <w:textAlignment w:val="center"/>
              <w:rPr>
                <w:rFonts w:hint="default"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基本要求</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292F2">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lang w:val="en-US" w:eastAsia="zh-CN" w:bidi="ar"/>
              </w:rPr>
            </w:pPr>
          </w:p>
        </w:tc>
        <w:tc>
          <w:tcPr>
            <w:tcW w:w="12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BD997">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b/>
                <w:bCs/>
                <w:color w:val="auto"/>
                <w:kern w:val="0"/>
                <w:sz w:val="21"/>
                <w:szCs w:val="21"/>
                <w:highlight w:val="none"/>
                <w:lang w:val="en-US" w:eastAsia="zh-CN" w:bidi="ar"/>
              </w:rPr>
            </w:pPr>
          </w:p>
        </w:tc>
      </w:tr>
      <w:tr w14:paraId="41CA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B254A6">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w:t>
            </w:r>
          </w:p>
        </w:tc>
        <w:tc>
          <w:tcPr>
            <w:tcW w:w="13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5C3C1F">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地震预警终端</w:t>
            </w:r>
          </w:p>
          <w:p w14:paraId="75C47803">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（核心产品）</w:t>
            </w: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973E72">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437FC4">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1.入网注册：通过License或安全证书进行入网注册；</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6E65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具备通过配置注册地址、注册账户和密码等信息，以License或安全证书等方式进行入网注册的功能。注册成功后在发布平台下可查询到获得授权的终端。</w:t>
            </w:r>
          </w:p>
        </w:tc>
        <w:tc>
          <w:tcPr>
            <w:tcW w:w="123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B2BA96">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p>
        </w:tc>
      </w:tr>
      <w:tr w14:paraId="7D51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4EE1071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78119FD6">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35E7E">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82496">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2.通信协议：通过MQTT协议订阅主题接收信息；</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10EAD1">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具备基于MQTT通信协议订阅地震预警、地震速报等相关主题，在各主题下接收相应信息的功能。（MQTT通讯协议详见地震预警信息发布规程第2部分第7章和附录内容，测试过程中会制定相关测试主题。）</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2C816990">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5945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146D269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06738F12">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0F325">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824CE">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3.信息解析：具备数据解析、重要参数计算和本地预警等级确定等功能；</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488261">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1.具备通过地震预警信息解析获取发震时刻、震中经纬度、震源深度、震级等地震基本参数的功能。</w:t>
            </w:r>
          </w:p>
          <w:p w14:paraId="3AA75848">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2.以《地震预警信息发布规程第2部分》附录内容给出的算法，计算本地预估烈度和倒计时等参数，并确定本地预警响应等级。</w:t>
            </w:r>
          </w:p>
          <w:p w14:paraId="7D1BC8E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3.根据《地震预警信息发布规程第1部分》第5章规定的发布规则，对多报地震预警信息进行更新解析和计算。</w:t>
            </w:r>
          </w:p>
          <w:p w14:paraId="41C25949">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4.地震预警信息的内容及格式满足《地震预警信息发布规程第1部分》附录C的要求。</w:t>
            </w:r>
          </w:p>
          <w:p w14:paraId="54B6E961">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地震速报信息的内容及格式满足《地震速报技术管理规定（2015年修订版）》的要求。示例：中国地震台网正式测定：11月14日19时42分在四川凉山州会东县（北纬26.56度、东经102.53度）发生6.1级地震，震源深度5公里。</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58C4F26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7D70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656F41C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0518B512">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1ACC3">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53C1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4.地震预警演练：具备地震预警演练功能，可配置地震预警演练信息，演练信息正确响应；</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86320">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1.可接收发布平台下发的演练地震信息，或本地配置演练地震信息，正确响应演练地震预警信息，实现地震预警演练功能。</w:t>
            </w:r>
          </w:p>
          <w:p w14:paraId="2ACB1701">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2.演练过程中应提示“地震预警演练”，根据演练信息计算本地预警等级，正确进行告警，可视类终端支持倒计时显示。</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7501E23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27B9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2437029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64D818D4">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C651A">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2E3B3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5.信息反馈：可对接收到的信息等进行反馈；</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C59D3">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1.终端接收到发布平台的信息后，应向发布平台反馈接收状态信息，主要包括地震预警事件信息、预警等级信息、报警器（声音、灯光）触发信息、预警时间、震中距、终端名称、终端序列号、终端类型等信息。</w:t>
            </w:r>
          </w:p>
          <w:p w14:paraId="22D0BDB9">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2.反馈信息应与终端响应时展示的信息保持一致，且应包括详细的时间标记，时间标记应精确到毫秒。</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634500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38AD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0973A852">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3F76FC4">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4E926B">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75E6B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6.状态监控：终端应实时记录运行状态，并根据要求上报；</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DFBE26">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1.终端采用定时发送“心跳包”等形式与发布平台和终端管理平台保持连接，定时向发布平台和终端管理平台发送终端的状态信息。</w:t>
            </w:r>
          </w:p>
          <w:p w14:paraId="3CC5BC86">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2.可根据终端管理平台发出的命令，上传终端运行状态信息。</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0993845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32E2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6431BB55">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7742EE4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5DA00">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8E09D">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7.信息展示：预警终端收到平台发送的信息后按相应内容进行展示；</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D5620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1.可视类终端应具备信息展示功能。</w:t>
            </w:r>
          </w:p>
          <w:p w14:paraId="0C5FF9EF">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2.根据接收和解析的地震预警信息，能够按照对应预警响应等级展示，包括但不限于发震时刻、震中位置、震级、预估地震烈度、预警时间、避震提示等内容。</w:t>
            </w:r>
          </w:p>
          <w:p w14:paraId="143F47F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3.根据接收和解析的地震速报信息，能够在屏幕显示发震时刻、震中位置、震级等信息。</w:t>
            </w:r>
          </w:p>
          <w:p w14:paraId="01FEEC0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4.根据相关预警发布规则，对多报地震预警信息进行更新展示。</w:t>
            </w:r>
          </w:p>
          <w:p w14:paraId="55FD3D6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5.发震时刻精确到分并保留整数，震中位置坐标保留不超过2位小数，震级保留1位小数，预估烈度和预警时间保留整数。</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7DADE0B6">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3ED4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66C669A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0E04720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49549">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B476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8.声音报警：具备声音告警功能，可根据地震预警发布规则进行响应，音频文件和音量大小可配置；</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541A1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1.具备声音告警功能，收到地震预警信息后，按照地震预警发布规则进行响应，通过语音播发/不播发预警信息内容。</w:t>
            </w:r>
          </w:p>
          <w:p w14:paraId="3B6777B0">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2.声音应符合《地震预警信息发布规程第1部分》第4章关于预警等级的相关要求和附录B中关于声音的要求。</w:t>
            </w:r>
          </w:p>
          <w:p w14:paraId="58905EF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3.音频文件和音量大小可在终端管理平台配置。</w:t>
            </w:r>
          </w:p>
          <w:p w14:paraId="52CCB52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4.最大播发音量应距声源方向3m处的声压级应不小于75dB。</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0FBAB7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6292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25D5116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47C4C9A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0B84C">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8F0351">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9.灯光报警：具备灯光报警功能，可根据地震预警发布规则进行响应，灯光报警有闪烁功能；</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F7493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可视类终端具备灯光报警功能：</w:t>
            </w:r>
          </w:p>
          <w:p w14:paraId="3B7D1426">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1.收到地震预警信息后，按照地震预警发布规则进行灯光闪烁。</w:t>
            </w:r>
          </w:p>
          <w:p w14:paraId="07D572F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2.灯光显示符合《地震预警信息发布规程 第 1 部分》第 4 章关于预警等级的相关要求和附录 A 中关于图标颜色的要求。</w:t>
            </w:r>
          </w:p>
          <w:p w14:paraId="56D652D3">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3.灯光响应可根据地震预警发布规则在终端管理平台配置。</w:t>
            </w:r>
          </w:p>
          <w:p w14:paraId="43B37F8E">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4.灯光闪烁频率可设置，默认闪烁频率为 3Hz 至 6Hz。</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25FF392">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4DD3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0BC956D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4EB07D9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CCF23">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49E2E">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10.预警取消：具备地震预警信息取消的功能；</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26F048">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接收预警取消信息后，终端能立即停止播发当前正在播发的预警信息，并提示地震预警取消信息。</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0CB00500">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2415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01A707D6">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77480678">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16F50">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45977">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11.响应时间：响应时间不超过0.5秒；</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41F1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自收到信息开始至终端开始通过声/光等方式响应的时间不超过0.5秒。</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EF0F29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1086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0EFAFD4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564D756">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D0351">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840544">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12.信息安全：具备数字证书功能；</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3AD1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接收和发送信息具备数字证书认证功能，以保障传输信息的安全。数字证书的正常与否应记录在日志中。</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9C486FC">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2F4E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2CE7E72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45E1A5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AA2C80">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A33D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13.时间服务：具备授时、守时和时间标记功能；</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9E5F3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1.具有通过网络授时（NTP）的功能，NTP服务器可配置。</w:t>
            </w:r>
          </w:p>
          <w:p w14:paraId="34A7674F">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2.授时钟差优于1/10秒，授时频次可配置，默认不低于1次/小时。</w:t>
            </w:r>
          </w:p>
          <w:p w14:paraId="09A0A299">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3.断电或断网恢复后，应在10秒内进行重新授时。</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2CEBF265">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05F9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54E02F52">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20706E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8CB188">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A96473">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14.通信：支持并提供RJ45有线网络和 Wi-Fi方式，支持4G以上制式移动通信网络（含物联网卡）；</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B8E3D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1.支持并提供 RJ45 有线网络和 Wi-Fi 方式进行通信。</w:t>
            </w:r>
          </w:p>
          <w:p w14:paraId="4DF44AD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2.支持使用4G以上制式的移动通信网络（含物联网卡）进行通信，同时支持联通、电信和移动等运营商。</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03CD6B3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3030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10A0E62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5B89462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D588C">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5EE47">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15.断电（网）重连和记忆：具备断电（网）主动重连功能，且能保持设备已有配置信息；</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811C6">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1.终端断电（网）恢复后，具备主动重联功能。</w:t>
            </w:r>
          </w:p>
          <w:p w14:paraId="44996E18">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2.终端设备断电重连时，能够重复使用断电前的设备配置信息。</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431A67D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6557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5C643BC3">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AF2232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29FEE4">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9E89A0">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16.电源适应性：正常工作的适应电源稳态电压允许范围 220×（1±10%）V。</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F955FF">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采用可编程式供电电源对终端进行测试，终端正常运行的供电电源适应性达到或优于稳态电压220×（1±10%）V。</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3D8D1DF5">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3284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45CB44E8">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57388D2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90686">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71FBE">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17.日志管理：可记录系统日志、地震预警信息日志，支持日志分类、分级保存；</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7ED80">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1.系统日志连续记录，包括但不限于系统状态、系统自检、连接状态、操作记录、各类信息获取和确认、处理、显示、异常处理，且本地保存不低于30天。</w:t>
            </w:r>
          </w:p>
          <w:p w14:paraId="4FA2D32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2.地震预警信息日志，包括但不限于报文接收信息、报文内容、报文回复、预警响应以及反馈信息等各类信息的时间信息，本地保存不低于3个月。</w:t>
            </w:r>
          </w:p>
          <w:p w14:paraId="005A956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3.支持日志分类、分级保存。日志的时间标记应精确到毫秒。</w:t>
            </w:r>
          </w:p>
          <w:p w14:paraId="4CB3860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4.支持定时上传日志文件到日志服务器，上传日志功能可配置关/开自动上传服务，上传文件命名规则清晰。</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08D3BBFE">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13FD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7B6446C8">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7F8D8AFE">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06C72">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25D4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18.管理功能：支持在终端设备现场操作或远程在管理平台配置信息；</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F9B8B">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1.能够配置本地位置，可通过地图选取和输入经纬度配置本地位置。</w:t>
            </w:r>
          </w:p>
          <w:p w14:paraId="16310A4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2.能够配置本地地震预警等级与对应本地烈度值（下限）。</w:t>
            </w:r>
          </w:p>
          <w:p w14:paraId="38FDECCC">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3.能够手动配置紧急信息服务源和订阅主题。</w:t>
            </w:r>
          </w:p>
          <w:p w14:paraId="204ADFA5">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4.具备远程管理，可查看终端设备状态、配置和管理相关参数，进行系统升级、重置、重启。</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3EB72857">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5930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145BAC9F">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195A518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9B1C6">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4A8C47">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19.接口：支持并具备音（视）频和USB接口；</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018B0D">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1.支持并具备 3.5mm 音频输出接口。</w:t>
            </w:r>
          </w:p>
          <w:p w14:paraId="6F920702">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2.支持 USB 接口，具备2个USB2.0及以上接口。</w:t>
            </w:r>
          </w:p>
          <w:p w14:paraId="76CAC607">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3.可视类终端应支持并具备 HDMI 接口。</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3F218747">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601D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64D595FE">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11C91D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10B44">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DA8A8">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20.工作环境：温度湿度满足正常工作需求；</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42C0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工作环境温度在-10℃~50℃，空气相对湿度值不大于90%RH，无凝露。</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6CB9535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40C1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54A6EA7C">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3DA0A988">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FE712">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EFACF">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21.外壳防护：终端的外壳防护达到IP65的要求；</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9D3080">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室外终端的外壳防护等级应达到GB/T 4208-2017规定的IP65 的要求。</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004C38C8">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r w14:paraId="0170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4" w:type="dxa"/>
            <w:vMerge w:val="continue"/>
            <w:tcBorders>
              <w:top w:val="nil"/>
              <w:left w:val="single" w:color="auto" w:sz="4" w:space="0"/>
              <w:bottom w:val="single" w:color="auto" w:sz="4" w:space="0"/>
              <w:right w:val="single" w:color="auto" w:sz="4" w:space="0"/>
            </w:tcBorders>
            <w:shd w:val="clear" w:color="auto" w:fill="auto"/>
            <w:noWrap/>
            <w:vAlign w:val="center"/>
          </w:tcPr>
          <w:p w14:paraId="0F1A6D7D">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1317" w:type="dxa"/>
            <w:vMerge w:val="continue"/>
            <w:tcBorders>
              <w:top w:val="nil"/>
              <w:left w:val="single" w:color="auto" w:sz="4" w:space="0"/>
              <w:bottom w:val="single" w:color="auto" w:sz="4" w:space="0"/>
              <w:right w:val="single" w:color="auto" w:sz="4" w:space="0"/>
            </w:tcBorders>
            <w:shd w:val="clear" w:color="auto" w:fill="auto"/>
            <w:noWrap/>
            <w:vAlign w:val="center"/>
          </w:tcPr>
          <w:p w14:paraId="20AD41C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c>
          <w:tcPr>
            <w:tcW w:w="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167CA0">
            <w:pPr>
              <w:keepNext w:val="0"/>
              <w:keepLines w:val="0"/>
              <w:widowControl/>
              <w:suppressLineNumbers w:val="0"/>
              <w:spacing w:before="0" w:beforeAutospacing="0" w:after="0" w:afterAutospacing="0" w:line="340" w:lineRule="exact"/>
              <w:ind w:left="0" w:right="0" w:firstLine="0" w:firstLineChars="0"/>
              <w:jc w:val="center"/>
              <w:textAlignment w:val="center"/>
              <w:rPr>
                <w:rFonts w:hint="eastAsia" w:ascii="仿宋" w:hAnsi="仿宋" w:eastAsia="仿宋" w:cs="仿宋"/>
                <w:color w:val="auto"/>
                <w:kern w:val="2"/>
                <w:sz w:val="21"/>
                <w:szCs w:val="21"/>
                <w:highlight w:val="none"/>
                <w:lang w:val="en-US" w:eastAsia="zh-CN"/>
              </w:rPr>
            </w:pPr>
            <w:r>
              <w:rPr>
                <w:rFonts w:hint="eastAsia" w:ascii="宋体" w:hAnsi="宋体" w:eastAsia="宋体" w:cs="宋体"/>
                <w:b/>
                <w:bCs/>
                <w:color w:val="auto"/>
                <w:kern w:val="2"/>
                <w:szCs w:val="24"/>
                <w:highlight w:val="none"/>
              </w:rPr>
              <w:t>■</w:t>
            </w:r>
          </w:p>
        </w:tc>
        <w:tc>
          <w:tcPr>
            <w:tcW w:w="2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2D7AF">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22.存储：具备数据存储能力和自动清理空间能力；</w:t>
            </w:r>
          </w:p>
        </w:tc>
        <w:tc>
          <w:tcPr>
            <w:tcW w:w="40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F05DA">
            <w:pPr>
              <w:keepNext w:val="0"/>
              <w:keepLines w:val="0"/>
              <w:widowControl/>
              <w:suppressLineNumbers w:val="0"/>
              <w:spacing w:before="0" w:beforeAutospacing="0" w:after="0" w:afterAutospacing="0" w:line="340" w:lineRule="exact"/>
              <w:ind w:left="0" w:right="0" w:firstLine="0" w:firstLineChars="0"/>
              <w:jc w:val="both"/>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终端内部存储空间≥64G。当存储可用空间低于20%时，系统自动清除早期文件。存储空间可扩展。</w:t>
            </w:r>
          </w:p>
        </w:tc>
        <w:tc>
          <w:tcPr>
            <w:tcW w:w="1234" w:type="dxa"/>
            <w:vMerge w:val="continue"/>
            <w:tcBorders>
              <w:top w:val="nil"/>
              <w:left w:val="single" w:color="auto" w:sz="4" w:space="0"/>
              <w:bottom w:val="single" w:color="auto" w:sz="4" w:space="0"/>
              <w:right w:val="single" w:color="auto" w:sz="4" w:space="0"/>
            </w:tcBorders>
            <w:shd w:val="clear" w:color="auto" w:fill="auto"/>
            <w:noWrap/>
            <w:vAlign w:val="center"/>
          </w:tcPr>
          <w:p w14:paraId="285E8701">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p>
        </w:tc>
      </w:tr>
    </w:tbl>
    <w:p w14:paraId="69025116">
      <w:pPr>
        <w:pStyle w:val="3"/>
        <w:pageBreakBefore w:val="0"/>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eastAsia="宋体" w:cs="宋体"/>
          <w:bCs/>
          <w:color w:val="auto"/>
          <w:kern w:val="2"/>
          <w:sz w:val="28"/>
          <w:szCs w:val="28"/>
          <w:highlight w:val="none"/>
        </w:rPr>
      </w:pPr>
      <w:bookmarkStart w:id="17" w:name="_Toc160187007"/>
    </w:p>
    <w:p w14:paraId="74E8F6FF">
      <w:pPr>
        <w:pStyle w:val="3"/>
        <w:pageBreakBefore w:val="0"/>
        <w:kinsoku/>
        <w:wordWrap/>
        <w:overflowPunct/>
        <w:topLinePunct w:val="0"/>
        <w:autoSpaceDE/>
        <w:autoSpaceDN/>
        <w:bidi w:val="0"/>
        <w:adjustRightInd w:val="0"/>
        <w:snapToGrid w:val="0"/>
        <w:spacing w:before="0" w:beforeAutospacing="0" w:after="0" w:afterAutospacing="0" w:line="360" w:lineRule="auto"/>
        <w:textAlignment w:val="auto"/>
        <w:rPr>
          <w:rFonts w:ascii="宋体" w:hAnsi="宋体" w:eastAsia="宋体" w:cs="宋体"/>
          <w:bCs/>
          <w:color w:val="auto"/>
          <w:kern w:val="2"/>
          <w:sz w:val="28"/>
          <w:szCs w:val="28"/>
          <w:highlight w:val="none"/>
        </w:rPr>
      </w:pPr>
      <w:r>
        <w:rPr>
          <w:rFonts w:hint="eastAsia" w:ascii="宋体" w:hAnsi="宋体" w:eastAsia="宋体" w:cs="宋体"/>
          <w:bCs/>
          <w:color w:val="auto"/>
          <w:kern w:val="2"/>
          <w:sz w:val="28"/>
          <w:szCs w:val="28"/>
          <w:highlight w:val="none"/>
        </w:rPr>
        <w:t>三、商务要求</w:t>
      </w:r>
      <w:bookmarkEnd w:id="17"/>
    </w:p>
    <w:p w14:paraId="388A9A19">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bookmarkStart w:id="18" w:name="_Toc160187008"/>
      <w:r>
        <w:rPr>
          <w:rFonts w:hint="eastAsia" w:ascii="仿宋" w:hAnsi="仿宋" w:eastAsia="仿宋" w:cs="仿宋"/>
          <w:color w:val="auto"/>
          <w:sz w:val="30"/>
          <w:szCs w:val="30"/>
          <w:highlight w:val="none"/>
          <w:lang w:val="en-US" w:eastAsia="zh-CN"/>
        </w:rPr>
        <w:t>（一）服务时间：</w:t>
      </w:r>
      <w:bookmarkEnd w:id="18"/>
    </w:p>
    <w:p w14:paraId="66DE4387">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bookmarkStart w:id="19" w:name="_Toc160187009"/>
      <w:r>
        <w:rPr>
          <w:rFonts w:hint="eastAsia" w:ascii="仿宋" w:hAnsi="仿宋" w:eastAsia="仿宋" w:cs="仿宋"/>
          <w:color w:val="auto"/>
          <w:sz w:val="30"/>
          <w:szCs w:val="30"/>
          <w:highlight w:val="none"/>
          <w:lang w:val="en-US" w:eastAsia="zh-CN"/>
        </w:rPr>
        <w:t>酒泉市各区县地震预警信息发布系统建设委托项目设备采购完成时间：合同签订后30个日历天。</w:t>
      </w:r>
    </w:p>
    <w:p w14:paraId="4D85F1F8">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（二）服务地点：</w:t>
      </w:r>
      <w:bookmarkEnd w:id="19"/>
    </w:p>
    <w:p w14:paraId="46438153">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bookmarkStart w:id="20" w:name="_Toc160187010"/>
      <w:r>
        <w:rPr>
          <w:rFonts w:hint="eastAsia" w:ascii="仿宋" w:hAnsi="仿宋" w:eastAsia="仿宋" w:cs="仿宋"/>
          <w:color w:val="auto"/>
          <w:sz w:val="30"/>
          <w:szCs w:val="30"/>
          <w:highlight w:val="none"/>
          <w:lang w:val="en-US" w:eastAsia="zh-CN"/>
        </w:rPr>
        <w:t>设备安装涉及酒泉市各区县，具体安装部署点位信息由甲方指定并以招标方签署合同为准，部分点位在设备安装前可临时调整。</w:t>
      </w:r>
    </w:p>
    <w:p w14:paraId="59A2C00D">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（三）项目验收标准：</w:t>
      </w:r>
      <w:bookmarkEnd w:id="20"/>
    </w:p>
    <w:p w14:paraId="6B200BC1">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1.乙方应按照本合同或招投标文件规定的时间和方式向甲方交付货物，交货地点由甲方指定。如招标文件对交货时间未明确规定，则乙方应当按甲方要求时间交付货物。　　</w:t>
      </w:r>
    </w:p>
    <w:p w14:paraId="39C0D139">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乙方交付的货物应当完全符合本合同或者招投标文件所规定的货物、数量和规格要求。乙方不得少交或多交货物。乙方提供的货物不符合招投标文件和合同规定的，甲方有权拒收货物，由此引起的风险，由乙方承担。　　</w:t>
      </w:r>
    </w:p>
    <w:p w14:paraId="07D3A808">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3.货物的到货验收包括：型号、规格、数量、外观质量、以及货物包装是否完好。　　</w:t>
      </w:r>
    </w:p>
    <w:p w14:paraId="64181B60">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　　</w:t>
      </w:r>
    </w:p>
    <w:p w14:paraId="39C9283C">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5.甲方应当在到货后的15个工作日内对货物进行验收；需要乙方对货物或系统进行安装调试的，甲方应在货物安装调试完毕后的30个工作日内进行质量验收。验收合格的，由甲方签署验收合格的证明并加盖单位公章。招标文件对检验期限另有规定的，从其规定。　　</w:t>
      </w:r>
    </w:p>
    <w:p w14:paraId="11225345">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6.中标人提供的设备须是1年内生产的全新仪器，仪器内部无损坏，外表无磨损，外部包装无破损，并通过最终用户测试合格后，双方签署验收报告，视为供货验收完毕。通过最终用户3个月的试运行合格后，双方签署验收报告，视为验收完毕。</w:t>
      </w:r>
    </w:p>
    <w:p w14:paraId="07C66E52">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bookmarkStart w:id="21" w:name="_Toc160187011"/>
      <w:r>
        <w:rPr>
          <w:rFonts w:hint="eastAsia" w:ascii="仿宋" w:hAnsi="仿宋" w:eastAsia="仿宋" w:cs="仿宋"/>
          <w:color w:val="auto"/>
          <w:sz w:val="30"/>
          <w:szCs w:val="30"/>
          <w:highlight w:val="none"/>
          <w:lang w:val="en-US" w:eastAsia="zh-CN"/>
        </w:rPr>
        <w:t>（四）售后要求</w:t>
      </w:r>
      <w:bookmarkEnd w:id="21"/>
    </w:p>
    <w:p w14:paraId="0CFAC7BA">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1.乙方应按照国家有关法律法规规章和“三包”规定以及合同所附的“服务承诺”提供服务。　　</w:t>
      </w:r>
    </w:p>
    <w:p w14:paraId="15A1136F">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2.若招标文件中不包含有关伴随服务或售后服务的承诺，双方作如下约定：　　</w:t>
      </w:r>
    </w:p>
    <w:p w14:paraId="1C47E9AB">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2.1 根据不同项目及货物，由乙方提供不少于8年的设备质保和运行维护；保修期自甲方在货物质量验收单上签字之日起计算，保修费用计入总价。　　</w:t>
      </w:r>
    </w:p>
    <w:p w14:paraId="407AD415">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2.2 保修期内，乙方负责对其提供的货物进行维修和维护，并对每台设备提供一次免费移机，不再收取任何费用，但不可抗力（如火灾、雷击等）造成的故障除外。　　</w:t>
      </w:r>
    </w:p>
    <w:p w14:paraId="2476D0FC">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2.3 货物故障报修的响应时间为7*24小时。　　</w:t>
      </w:r>
    </w:p>
    <w:p w14:paraId="2C9B4691">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2.4 若货物故障在检修工作24小时后仍无法排除，乙方应在72小时内免费提供不低于故障货物规格型号档次的备用货物供甲方使用，直至故障货物修复。　　</w:t>
      </w:r>
    </w:p>
    <w:p w14:paraId="73737FBE">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2.5 所有货物保修服务方式均为乙方上门保修，即由乙方派员到货物使用现场维修，由此产生的一切费用均由乙方承担。　　</w:t>
      </w:r>
    </w:p>
    <w:p w14:paraId="4C9BBDB6">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2.6 保修期后的货物维护由双方协商再定。</w:t>
      </w:r>
    </w:p>
    <w:p w14:paraId="480CBDAC">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2.7 投标人须根据本项目建设内容、设备配置、系统功能及甲方实际岗位工作需求，提供全方位、定制化、落地性强的专业培训服务，免费提供2天以上，各区县3人次专业技术人员的培训，直至对方专业技术人员能够独立操作。培训旨在保障甲方管理人员、操作人员、运维人员熟练掌握项目相关设备操作、系统使用、日常运维、故障排查、规范作业等技能，确保项目建成后可正常、稳定、高效投入使用。所有培训费用均包含在投标报价内，甲方无需额外支付任何培训相关费用。投标人需结合项目实际制定详细、可落地的培训实施方案，明确培训师资、培训课程、培训时长、培训对象、培训形式、考核方式、售后辅导机制等内容，方案需科学合理、贴合甲方岗位实际需求，严禁套用通用模板、脱离项目实际内容。</w:t>
      </w:r>
    </w:p>
    <w:p w14:paraId="73F39C79">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2.8 中标人对工作期间的安全问题负完全责任。</w:t>
      </w:r>
    </w:p>
    <w:p w14:paraId="0AAF6A66">
      <w:pPr>
        <w:pStyle w:val="2"/>
        <w:keepNext w:val="0"/>
        <w:keepLines w:val="0"/>
        <w:pageBreakBefore w:val="0"/>
        <w:widowControl w:val="0"/>
        <w:kinsoku/>
        <w:wordWrap/>
        <w:overflowPunct/>
        <w:topLinePunct w:val="0"/>
        <w:autoSpaceDE/>
        <w:autoSpaceDN/>
        <w:bidi w:val="0"/>
        <w:adjustRightInd w:val="0"/>
        <w:snapToGrid w:val="0"/>
        <w:spacing w:line="360" w:lineRule="auto"/>
        <w:ind w:left="119" w:right="119" w:firstLine="2891" w:firstLineChars="900"/>
        <w:jc w:val="left"/>
        <w:textAlignment w:val="auto"/>
        <w:rPr>
          <w:rFonts w:hint="eastAsia" w:ascii="仿宋" w:hAnsi="仿宋" w:eastAsia="仿宋"/>
          <w:color w:val="auto"/>
          <w:highlight w:val="none"/>
        </w:rPr>
      </w:pPr>
    </w:p>
    <w:p w14:paraId="6508976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213776"/>
    <w:rsid w:val="339B7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exact"/>
    </w:pPr>
    <w:rPr>
      <w:rFonts w:ascii="Times New Roman" w:hAnsi="Times New Roman" w:eastAsia="宋体" w:cs="Times New Roman"/>
      <w:sz w:val="24"/>
      <w:lang w:val="en-US" w:eastAsia="zh-CN" w:bidi="ar-SA"/>
    </w:rPr>
  </w:style>
  <w:style w:type="paragraph" w:styleId="2">
    <w:name w:val="heading 1"/>
    <w:basedOn w:val="1"/>
    <w:next w:val="1"/>
    <w:qFormat/>
    <w:uiPriority w:val="99"/>
    <w:pPr>
      <w:keepNext/>
      <w:keepLines/>
      <w:jc w:val="center"/>
      <w:outlineLvl w:val="0"/>
    </w:pPr>
    <w:rPr>
      <w:b/>
      <w:kern w:val="44"/>
      <w:sz w:val="32"/>
    </w:rPr>
  </w:style>
  <w:style w:type="paragraph" w:styleId="3">
    <w:name w:val="heading 2"/>
    <w:basedOn w:val="1"/>
    <w:next w:val="1"/>
    <w:qFormat/>
    <w:uiPriority w:val="99"/>
    <w:pPr>
      <w:keepNext/>
      <w:keepLines/>
      <w:jc w:val="center"/>
      <w:outlineLvl w:val="1"/>
    </w:pPr>
    <w:rPr>
      <w:rFonts w:ascii="Arial" w:hAnsi="Arial"/>
      <w:b/>
      <w:sz w:val="2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4483</Words>
  <Characters>4748</Characters>
  <Lines>0</Lines>
  <Paragraphs>0</Paragraphs>
  <TotalTime>0</TotalTime>
  <ScaleCrop>false</ScaleCrop>
  <LinksUpToDate>false</LinksUpToDate>
  <CharactersWithSpaces>4808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2026-07-22T01:13:00Z</dcterms:created>
  <dc:creator>Administrator</dc:creator>
  <cp:lastModifiedBy>东迪</cp:lastModifiedBy>
  <dcterms:modified xsi:type="dcterms:W3CDTF">2026-07-22T01:15:27Z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eyJoZGlkIjoiMDE1MWRlMzQ5MzIwM2Q2N2YzYTRiMmIxNzVlMGZmMjAiLCJ1c2VySWQiOiI2Mjg1NzM1ODUifQ==</vt:lpwstr>
  </property>
  <property fmtid="{D5CDD505-2E9C-101B-9397-08002B2CF9AE}" pid="4" name="ICV">
    <vt:lpwstr>C93E465CC8A84EECA747438DBBA6C1A8_12</vt:lpwstr>
  </property>
</Properties>
</file>