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FA1A3">
      <w:pPr>
        <w:ind w:left="660"/>
        <w:rPr>
          <w:rFonts w:hint="eastAsia" w:ascii="方正楷体_GB2312" w:hAnsi="方正楷体_GB2312" w:eastAsia="方正楷体_GB2312" w:cs="方正楷体_GB2312"/>
          <w:bCs/>
          <w:sz w:val="30"/>
        </w:rPr>
      </w:pPr>
    </w:p>
    <w:p w14:paraId="702B18C9">
      <w:pPr>
        <w:ind w:left="660"/>
        <w:rPr>
          <w:rFonts w:hint="eastAsia" w:ascii="方正楷体_GB2312" w:eastAsia="方正楷体_GB2312"/>
          <w:bCs/>
          <w:sz w:val="30"/>
        </w:rPr>
      </w:pPr>
    </w:p>
    <w:p w14:paraId="15425EC5">
      <w:pPr>
        <w:ind w:left="660"/>
        <w:rPr>
          <w:rFonts w:hint="eastAsia" w:ascii="方正楷体_GB2312" w:eastAsia="方正楷体_GB2312"/>
          <w:bCs/>
          <w:sz w:val="30"/>
        </w:rPr>
      </w:pPr>
    </w:p>
    <w:p w14:paraId="1DE91576">
      <w:pPr>
        <w:ind w:left="660"/>
        <w:rPr>
          <w:rFonts w:hint="eastAsia" w:ascii="方正楷体_GB2312" w:eastAsia="方正楷体_GB2312"/>
          <w:bCs/>
          <w:sz w:val="30"/>
        </w:rPr>
      </w:pPr>
    </w:p>
    <w:p w14:paraId="31B0028F">
      <w:pPr>
        <w:jc w:val="center"/>
        <w:rPr>
          <w:rFonts w:hint="default"/>
          <w:b/>
          <w:sz w:val="48"/>
          <w:szCs w:val="48"/>
          <w:lang w:val="en-US" w:eastAsia="zh-CN"/>
        </w:rPr>
      </w:pPr>
      <w:r>
        <w:rPr>
          <w:rFonts w:hint="eastAsia"/>
          <w:b/>
          <w:sz w:val="48"/>
          <w:szCs w:val="48"/>
          <w:lang w:val="en-US" w:eastAsia="zh-CN"/>
        </w:rPr>
        <w:t>兰州兰石集团有限公司动力公司</w:t>
      </w:r>
    </w:p>
    <w:p w14:paraId="241403A2">
      <w:pPr>
        <w:jc w:val="center"/>
        <w:rPr>
          <w:rFonts w:hint="eastAsia"/>
          <w:b/>
          <w:bCs/>
          <w:sz w:val="48"/>
          <w:szCs w:val="48"/>
        </w:rPr>
      </w:pPr>
      <w:r>
        <w:rPr>
          <w:rFonts w:hint="eastAsia" w:ascii="宋体" w:hAnsi="宋体" w:eastAsia="宋体" w:cs="宋体"/>
          <w:b/>
          <w:bCs/>
          <w:color w:val="auto"/>
          <w:kern w:val="2"/>
          <w:sz w:val="48"/>
          <w:szCs w:val="52"/>
          <w:highlight w:val="none"/>
          <w:lang w:val="en-US" w:eastAsia="zh-CN" w:bidi="ar-SA"/>
        </w:rPr>
        <w:t>混合气站采购项目</w:t>
      </w:r>
    </w:p>
    <w:p w14:paraId="133268FA">
      <w:pPr>
        <w:rPr>
          <w:rFonts w:hint="eastAsia"/>
          <w:b/>
          <w:sz w:val="44"/>
          <w:szCs w:val="44"/>
        </w:rPr>
      </w:pPr>
    </w:p>
    <w:p w14:paraId="059DF6C7">
      <w:pPr>
        <w:jc w:val="center"/>
        <w:rPr>
          <w:rFonts w:hint="eastAsia"/>
          <w:b/>
          <w:sz w:val="44"/>
          <w:szCs w:val="44"/>
        </w:rPr>
      </w:pPr>
    </w:p>
    <w:p w14:paraId="49E6BD33">
      <w:pPr>
        <w:jc w:val="center"/>
        <w:rPr>
          <w:rFonts w:hint="eastAsia"/>
          <w:b/>
          <w:sz w:val="44"/>
          <w:szCs w:val="44"/>
        </w:rPr>
      </w:pPr>
      <w:r>
        <w:rPr>
          <w:rFonts w:hint="eastAsia"/>
          <w:b/>
          <w:sz w:val="44"/>
          <w:szCs w:val="44"/>
          <w:lang w:eastAsia="zh-CN"/>
        </w:rPr>
        <w:t>竞争性谈判</w:t>
      </w:r>
      <w:r>
        <w:rPr>
          <w:rFonts w:hint="eastAsia"/>
          <w:b/>
          <w:sz w:val="44"/>
          <w:szCs w:val="44"/>
        </w:rPr>
        <w:t>文件</w:t>
      </w:r>
    </w:p>
    <w:p w14:paraId="66997F52">
      <w:pPr>
        <w:rPr>
          <w:rFonts w:hint="eastAsia"/>
          <w:b/>
          <w:sz w:val="44"/>
          <w:szCs w:val="44"/>
        </w:rPr>
      </w:pPr>
    </w:p>
    <w:p w14:paraId="0BF94AC8">
      <w:pPr>
        <w:rPr>
          <w:rFonts w:hint="eastAsia" w:ascii="华文中宋" w:hAnsi="华文中宋" w:eastAsia="华文中宋"/>
          <w:bCs/>
          <w:sz w:val="30"/>
        </w:rPr>
      </w:pPr>
    </w:p>
    <w:p w14:paraId="543375B7">
      <w:pPr>
        <w:rPr>
          <w:rFonts w:hint="eastAsia" w:ascii="华文中宋" w:hAnsi="华文中宋" w:eastAsia="华文中宋"/>
          <w:bCs/>
          <w:sz w:val="30"/>
        </w:rPr>
      </w:pPr>
    </w:p>
    <w:p w14:paraId="289ED514">
      <w:pPr>
        <w:rPr>
          <w:rFonts w:hint="eastAsia" w:ascii="华文中宋" w:hAnsi="华文中宋" w:eastAsia="华文中宋"/>
          <w:bCs/>
          <w:sz w:val="30"/>
        </w:rPr>
      </w:pPr>
    </w:p>
    <w:p w14:paraId="68B70ADE">
      <w:pPr>
        <w:spacing w:line="360" w:lineRule="auto"/>
        <w:jc w:val="both"/>
        <w:rPr>
          <w:rFonts w:hint="eastAsia" w:ascii="华文中宋" w:hAnsi="华文中宋" w:eastAsia="华文中宋"/>
          <w:bCs/>
          <w:sz w:val="30"/>
        </w:rPr>
      </w:pPr>
    </w:p>
    <w:p w14:paraId="59EEBF54">
      <w:pPr>
        <w:ind w:firstLine="2100" w:firstLineChars="700"/>
        <w:rPr>
          <w:rFonts w:hint="default" w:ascii="黑体" w:hAnsi="华文中宋" w:eastAsia="黑体" w:cs="宋体"/>
          <w:bCs/>
          <w:color w:val="FF0000"/>
          <w:sz w:val="30"/>
          <w:szCs w:val="30"/>
          <w:lang w:val="en-US" w:eastAsia="zh-CN"/>
        </w:rPr>
      </w:pPr>
      <w:r>
        <w:rPr>
          <w:rFonts w:hint="eastAsia" w:ascii="黑体" w:hAnsi="华文中宋" w:eastAsia="黑体"/>
          <w:bCs/>
          <w:sz w:val="30"/>
          <w:szCs w:val="30"/>
        </w:rPr>
        <w:t>招标编号：</w:t>
      </w:r>
      <w:r>
        <w:rPr>
          <w:rFonts w:hint="eastAsia" w:ascii="黑体" w:hAnsi="华文中宋" w:eastAsia="黑体" w:cs="宋体"/>
          <w:bCs/>
          <w:color w:val="000000" w:themeColor="text1"/>
          <w:sz w:val="30"/>
          <w:szCs w:val="30"/>
          <w:lang w:val="en-US" w:eastAsia="zh-CN"/>
          <w14:textFill>
            <w14:solidFill>
              <w14:schemeClr w14:val="tx1"/>
            </w14:solidFill>
          </w14:textFill>
        </w:rPr>
        <w:t>LSPS-202-260811-005</w:t>
      </w:r>
    </w:p>
    <w:p w14:paraId="74D39ACE">
      <w:pPr>
        <w:ind w:firstLine="2100" w:firstLineChars="700"/>
        <w:rPr>
          <w:rFonts w:hint="eastAsia" w:ascii="黑体" w:hAnsi="华文中宋" w:eastAsia="黑体"/>
          <w:bCs/>
          <w:sz w:val="30"/>
          <w:szCs w:val="30"/>
        </w:rPr>
      </w:pPr>
      <w:r>
        <w:rPr>
          <w:rFonts w:hint="eastAsia" w:ascii="黑体" w:hAnsi="华文中宋" w:eastAsia="黑体"/>
          <w:bCs/>
          <w:sz w:val="30"/>
          <w:szCs w:val="30"/>
        </w:rPr>
        <w:t>招标人：兰州兰石集团有限公司（动力公司）</w:t>
      </w:r>
    </w:p>
    <w:p w14:paraId="5D034136">
      <w:pPr>
        <w:spacing w:line="360" w:lineRule="auto"/>
        <w:ind w:firstLine="2100" w:firstLineChars="700"/>
        <w:rPr>
          <w:rFonts w:hint="eastAsia" w:ascii="黑体" w:hAnsi="华文中宋" w:eastAsia="黑体"/>
          <w:bCs/>
          <w:sz w:val="30"/>
          <w:szCs w:val="30"/>
        </w:rPr>
      </w:pPr>
      <w:r>
        <w:rPr>
          <w:rFonts w:hint="eastAsia" w:ascii="黑体" w:hAnsi="华文中宋" w:eastAsia="黑体"/>
          <w:bCs/>
          <w:sz w:val="30"/>
          <w:szCs w:val="30"/>
        </w:rPr>
        <w:t>地址：兰州新区黄河大道5</w:t>
      </w:r>
      <w:r>
        <w:rPr>
          <w:rFonts w:ascii="黑体" w:hAnsi="华文中宋" w:eastAsia="黑体"/>
          <w:bCs/>
          <w:sz w:val="30"/>
          <w:szCs w:val="30"/>
        </w:rPr>
        <w:t>18</w:t>
      </w:r>
      <w:r>
        <w:rPr>
          <w:rFonts w:hint="eastAsia" w:ascii="黑体" w:hAnsi="华文中宋" w:eastAsia="黑体"/>
          <w:bCs/>
          <w:sz w:val="30"/>
          <w:szCs w:val="30"/>
        </w:rPr>
        <w:t>号</w:t>
      </w:r>
    </w:p>
    <w:p w14:paraId="29CAFF10">
      <w:pPr>
        <w:spacing w:line="360" w:lineRule="auto"/>
        <w:rPr>
          <w:rFonts w:hint="default" w:ascii="黑体" w:hAnsi="华文中宋" w:eastAsia="黑体"/>
          <w:bCs/>
          <w:sz w:val="30"/>
          <w:szCs w:val="30"/>
          <w:lang w:val="en-US" w:eastAsia="zh-CN"/>
        </w:rPr>
      </w:pPr>
      <w:r>
        <w:rPr>
          <w:rFonts w:ascii="黑体" w:hAnsi="华文中宋" w:eastAsia="黑体"/>
          <w:bCs/>
          <w:sz w:val="30"/>
          <w:szCs w:val="30"/>
        </w:rPr>
        <w:t xml:space="preserve">              </w:t>
      </w:r>
    </w:p>
    <w:p w14:paraId="40B20D87">
      <w:pPr>
        <w:rPr>
          <w:rFonts w:hint="eastAsia" w:ascii="华文中宋" w:hAnsi="华文中宋" w:eastAsia="华文中宋"/>
          <w:bCs/>
          <w:sz w:val="30"/>
        </w:rPr>
      </w:pPr>
    </w:p>
    <w:p w14:paraId="6042E40B">
      <w:pPr>
        <w:rPr>
          <w:rStyle w:val="38"/>
          <w:rFonts w:hint="eastAsia" w:eastAsia="黑体"/>
          <w:bCs/>
          <w:sz w:val="48"/>
        </w:rPr>
      </w:pPr>
    </w:p>
    <w:p w14:paraId="643D190C">
      <w:pPr>
        <w:rPr>
          <w:rStyle w:val="38"/>
          <w:rFonts w:hint="eastAsia" w:eastAsia="黑体"/>
          <w:sz w:val="48"/>
        </w:rPr>
      </w:pPr>
    </w:p>
    <w:p w14:paraId="20B20D35">
      <w:pPr>
        <w:rPr>
          <w:rStyle w:val="38"/>
          <w:rFonts w:eastAsia="黑体"/>
          <w:sz w:val="48"/>
        </w:rPr>
      </w:pPr>
    </w:p>
    <w:p w14:paraId="6AE50CF9">
      <w:pPr>
        <w:rPr>
          <w:rStyle w:val="38"/>
          <w:rFonts w:eastAsia="黑体"/>
          <w:sz w:val="48"/>
        </w:rPr>
      </w:pPr>
    </w:p>
    <w:p w14:paraId="6C509D4E">
      <w:pPr>
        <w:rPr>
          <w:rStyle w:val="38"/>
          <w:rFonts w:hint="eastAsia" w:eastAsia="黑体"/>
          <w:sz w:val="48"/>
        </w:rPr>
        <w:sectPr>
          <w:endnotePr>
            <w:numFmt w:val="decimal"/>
          </w:endnotePr>
          <w:type w:val="continuous"/>
          <w:pgSz w:w="11906" w:h="16838"/>
          <w:pgMar w:top="567" w:right="851" w:bottom="567" w:left="1134" w:header="624" w:footer="907" w:gutter="0"/>
          <w:cols w:space="720" w:num="1"/>
          <w:docGrid w:type="linesAndChars" w:linePitch="312" w:charSpace="0"/>
        </w:sectPr>
      </w:pPr>
    </w:p>
    <w:p w14:paraId="0DF7425D">
      <w:pPr>
        <w:rPr>
          <w:rStyle w:val="38"/>
          <w:rFonts w:hint="eastAsia" w:eastAsia="黑体"/>
          <w:sz w:val="48"/>
        </w:rPr>
      </w:pPr>
    </w:p>
    <w:p w14:paraId="2C9F2036">
      <w:pPr>
        <w:rPr>
          <w:rFonts w:hint="eastAsia"/>
        </w:rPr>
      </w:pPr>
    </w:p>
    <w:p w14:paraId="382C54FA">
      <w:pPr>
        <w:jc w:val="center"/>
        <w:rPr>
          <w:rStyle w:val="38"/>
          <w:rFonts w:hint="eastAsia" w:eastAsia="黑体"/>
          <w:bCs/>
          <w:sz w:val="48"/>
          <w:lang w:eastAsia="zh-CN"/>
        </w:rPr>
      </w:pPr>
    </w:p>
    <w:p w14:paraId="661DE576">
      <w:pPr>
        <w:jc w:val="center"/>
        <w:rPr>
          <w:rStyle w:val="38"/>
          <w:rFonts w:eastAsia="黑体"/>
          <w:bCs/>
          <w:sz w:val="48"/>
        </w:rPr>
      </w:pPr>
      <w:r>
        <w:rPr>
          <w:rStyle w:val="38"/>
          <w:rFonts w:hint="eastAsia" w:eastAsia="黑体"/>
          <w:bCs/>
          <w:sz w:val="48"/>
        </w:rPr>
        <w:t>目录</w:t>
      </w:r>
    </w:p>
    <w:p w14:paraId="2B422221">
      <w:pPr>
        <w:jc w:val="center"/>
        <w:rPr>
          <w:rFonts w:hint="eastAsia" w:eastAsia="黑体"/>
          <w:bCs/>
          <w:sz w:val="48"/>
        </w:rPr>
      </w:pPr>
    </w:p>
    <w:sdt>
      <w:sdtPr>
        <w:rPr>
          <w:rFonts w:ascii="宋体" w:hAnsi="宋体" w:eastAsia="宋体" w:cs="宋体"/>
          <w:sz w:val="21"/>
          <w:szCs w:val="24"/>
          <w:lang w:val="en-US" w:eastAsia="zh-CN" w:bidi="ar-SA"/>
        </w:rPr>
        <w:id w:val="147477360"/>
        <w15:color w:val="DBDBDB"/>
        <w:docPartObj>
          <w:docPartGallery w:val="Table of Contents"/>
          <w:docPartUnique/>
        </w:docPartObj>
      </w:sdtPr>
      <w:sdtEndPr>
        <w:rPr>
          <w:rFonts w:hint="eastAsia" w:ascii="宋体" w:hAnsi="宋体" w:eastAsia="宋体" w:cs="宋体"/>
          <w:bCs/>
          <w:sz w:val="24"/>
          <w:szCs w:val="24"/>
          <w:lang w:val="en-US" w:eastAsia="zh-CN" w:bidi="ar-SA"/>
        </w:rPr>
      </w:sdtEndPr>
      <w:sdtContent>
        <w:p w14:paraId="2E7BFDFF">
          <w:pPr>
            <w:spacing w:before="0" w:beforeLines="0" w:after="0" w:afterLines="0" w:line="240" w:lineRule="auto"/>
            <w:ind w:left="0" w:leftChars="0" w:right="0" w:rightChars="0" w:firstLine="0" w:firstLineChars="0"/>
            <w:jc w:val="center"/>
          </w:pPr>
        </w:p>
        <w:p w14:paraId="17109DB7">
          <w:pPr>
            <w:pStyle w:val="24"/>
            <w:tabs>
              <w:tab w:val="right" w:leader="dot" w:pos="9921"/>
            </w:tabs>
          </w:pPr>
          <w:r>
            <w:rPr>
              <w:rFonts w:hint="eastAsia" w:ascii="宋体" w:hAnsi="宋体" w:eastAsia="宋体" w:cs="宋体"/>
              <w:bCs/>
              <w:sz w:val="24"/>
              <w:szCs w:val="24"/>
              <w:lang w:val="en-US" w:eastAsia="zh-CN" w:bidi="ar-SA"/>
            </w:rPr>
            <w:fldChar w:fldCharType="begin"/>
          </w:r>
          <w:r>
            <w:rPr>
              <w:rFonts w:hint="eastAsia" w:ascii="宋体" w:hAnsi="宋体" w:eastAsia="宋体" w:cs="宋体"/>
              <w:bCs/>
              <w:sz w:val="24"/>
              <w:szCs w:val="24"/>
              <w:lang w:val="en-US" w:eastAsia="zh-CN" w:bidi="ar-SA"/>
            </w:rPr>
            <w:instrText xml:space="preserve">TOC \o "1-1" \h \u </w:instrText>
          </w:r>
          <w:r>
            <w:rPr>
              <w:rFonts w:hint="eastAsia" w:ascii="宋体" w:hAnsi="宋体" w:eastAsia="宋体" w:cs="宋体"/>
              <w:bCs/>
              <w:sz w:val="24"/>
              <w:szCs w:val="24"/>
              <w:lang w:val="en-US" w:eastAsia="zh-CN" w:bidi="ar-SA"/>
            </w:rPr>
            <w:fldChar w:fldCharType="separate"/>
          </w: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_Toc4535 </w:instrText>
          </w:r>
          <w:r>
            <w:rPr>
              <w:rFonts w:hint="eastAsia" w:ascii="宋体" w:hAnsi="宋体" w:eastAsia="宋体" w:cs="宋体"/>
              <w:bCs/>
              <w:szCs w:val="24"/>
              <w:lang w:val="en-US" w:eastAsia="zh-CN" w:bidi="ar-SA"/>
            </w:rPr>
            <w:fldChar w:fldCharType="separate"/>
          </w:r>
          <w:r>
            <w:rPr>
              <w:rFonts w:hint="eastAsia" w:ascii="宋体" w:hAnsi="宋体" w:eastAsia="宋体" w:cs="宋体"/>
              <w:bCs/>
              <w:szCs w:val="44"/>
              <w:highlight w:val="none"/>
              <w:lang w:val="en-US" w:eastAsia="zh-CN"/>
            </w:rPr>
            <w:t xml:space="preserve">第一章 </w:t>
          </w:r>
          <w:r>
            <w:rPr>
              <w:rFonts w:hint="eastAsia" w:ascii="宋体" w:hAnsi="宋体" w:cs="宋体"/>
              <w:bCs/>
              <w:szCs w:val="44"/>
              <w:highlight w:val="none"/>
              <w:lang w:val="en-US" w:eastAsia="zh-CN"/>
            </w:rPr>
            <w:t>竞争性谈判</w:t>
          </w:r>
          <w:r>
            <w:rPr>
              <w:rFonts w:hint="eastAsia" w:ascii="宋体" w:hAnsi="宋体" w:eastAsia="宋体" w:cs="宋体"/>
              <w:bCs/>
              <w:szCs w:val="44"/>
              <w:highlight w:val="none"/>
            </w:rPr>
            <w:t>公告</w:t>
          </w:r>
          <w:r>
            <w:tab/>
          </w:r>
          <w:r>
            <w:fldChar w:fldCharType="begin"/>
          </w:r>
          <w:r>
            <w:instrText xml:space="preserve"> PAGEREF _Toc4535 \h </w:instrText>
          </w:r>
          <w:r>
            <w:fldChar w:fldCharType="separate"/>
          </w:r>
          <w:r>
            <w:t>3</w:t>
          </w:r>
          <w:r>
            <w:fldChar w:fldCharType="end"/>
          </w:r>
          <w:r>
            <w:rPr>
              <w:rFonts w:hint="eastAsia" w:ascii="宋体" w:hAnsi="宋体" w:eastAsia="宋体" w:cs="宋体"/>
              <w:bCs/>
              <w:szCs w:val="24"/>
              <w:lang w:val="en-US" w:eastAsia="zh-CN" w:bidi="ar-SA"/>
            </w:rPr>
            <w:fldChar w:fldCharType="end"/>
          </w:r>
        </w:p>
        <w:p w14:paraId="1A820AA5">
          <w:pPr>
            <w:pStyle w:val="24"/>
            <w:tabs>
              <w:tab w:val="right" w:leader="dot" w:pos="9921"/>
            </w:tabs>
          </w:pP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_Toc12918 </w:instrText>
          </w:r>
          <w:r>
            <w:rPr>
              <w:rFonts w:hint="eastAsia" w:ascii="宋体" w:hAnsi="宋体" w:eastAsia="宋体" w:cs="宋体"/>
              <w:bCs/>
              <w:szCs w:val="24"/>
              <w:lang w:val="en-US" w:eastAsia="zh-CN" w:bidi="ar-SA"/>
            </w:rPr>
            <w:fldChar w:fldCharType="separate"/>
          </w:r>
          <w:r>
            <w:rPr>
              <w:rFonts w:hint="eastAsia"/>
              <w:bCs/>
              <w:szCs w:val="44"/>
              <w:lang w:val="en-US" w:eastAsia="zh-CN"/>
            </w:rPr>
            <w:t xml:space="preserve">第二章  </w:t>
          </w:r>
          <w:r>
            <w:rPr>
              <w:rFonts w:hint="eastAsia"/>
              <w:bCs/>
              <w:szCs w:val="44"/>
            </w:rPr>
            <w:t>投标须知前附表</w:t>
          </w:r>
          <w:r>
            <w:tab/>
          </w:r>
          <w:r>
            <w:fldChar w:fldCharType="begin"/>
          </w:r>
          <w:r>
            <w:instrText xml:space="preserve"> PAGEREF _Toc12918 \h </w:instrText>
          </w:r>
          <w:r>
            <w:fldChar w:fldCharType="separate"/>
          </w:r>
          <w:r>
            <w:t>6</w:t>
          </w:r>
          <w:r>
            <w:fldChar w:fldCharType="end"/>
          </w:r>
          <w:r>
            <w:rPr>
              <w:rFonts w:hint="eastAsia" w:ascii="宋体" w:hAnsi="宋体" w:eastAsia="宋体" w:cs="宋体"/>
              <w:bCs/>
              <w:szCs w:val="24"/>
              <w:lang w:val="en-US" w:eastAsia="zh-CN" w:bidi="ar-SA"/>
            </w:rPr>
            <w:fldChar w:fldCharType="end"/>
          </w:r>
        </w:p>
        <w:p w14:paraId="4AFF98F2">
          <w:pPr>
            <w:pStyle w:val="24"/>
            <w:tabs>
              <w:tab w:val="right" w:leader="dot" w:pos="9921"/>
            </w:tabs>
          </w:pP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_Toc18499 </w:instrText>
          </w:r>
          <w:r>
            <w:rPr>
              <w:rFonts w:hint="eastAsia" w:ascii="宋体" w:hAnsi="宋体" w:eastAsia="宋体" w:cs="宋体"/>
              <w:bCs/>
              <w:szCs w:val="24"/>
              <w:lang w:val="en-US" w:eastAsia="zh-CN" w:bidi="ar-SA"/>
            </w:rPr>
            <w:fldChar w:fldCharType="separate"/>
          </w:r>
          <w:r>
            <w:rPr>
              <w:rFonts w:hint="eastAsia"/>
              <w:bCs/>
              <w:szCs w:val="44"/>
              <w:lang w:val="en-US" w:eastAsia="zh-CN"/>
            </w:rPr>
            <w:t xml:space="preserve">第三章  </w:t>
          </w:r>
          <w:r>
            <w:rPr>
              <w:rFonts w:hint="eastAsia"/>
              <w:bCs/>
              <w:szCs w:val="44"/>
            </w:rPr>
            <w:t>投标人须知</w:t>
          </w:r>
          <w:r>
            <w:tab/>
          </w:r>
          <w:r>
            <w:fldChar w:fldCharType="begin"/>
          </w:r>
          <w:r>
            <w:instrText xml:space="preserve"> PAGEREF _Toc18499 \h </w:instrText>
          </w:r>
          <w:r>
            <w:fldChar w:fldCharType="separate"/>
          </w:r>
          <w:r>
            <w:t>9</w:t>
          </w:r>
          <w:r>
            <w:fldChar w:fldCharType="end"/>
          </w:r>
          <w:r>
            <w:rPr>
              <w:rFonts w:hint="eastAsia" w:ascii="宋体" w:hAnsi="宋体" w:eastAsia="宋体" w:cs="宋体"/>
              <w:bCs/>
              <w:szCs w:val="24"/>
              <w:lang w:val="en-US" w:eastAsia="zh-CN" w:bidi="ar-SA"/>
            </w:rPr>
            <w:fldChar w:fldCharType="end"/>
          </w:r>
        </w:p>
        <w:p w14:paraId="782059CB">
          <w:pPr>
            <w:pStyle w:val="24"/>
            <w:tabs>
              <w:tab w:val="right" w:leader="dot" w:pos="9921"/>
            </w:tabs>
          </w:pP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_Toc27442 </w:instrText>
          </w:r>
          <w:r>
            <w:rPr>
              <w:rFonts w:hint="eastAsia" w:ascii="宋体" w:hAnsi="宋体" w:eastAsia="宋体" w:cs="宋体"/>
              <w:bCs/>
              <w:szCs w:val="24"/>
              <w:lang w:val="en-US" w:eastAsia="zh-CN" w:bidi="ar-SA"/>
            </w:rPr>
            <w:fldChar w:fldCharType="separate"/>
          </w:r>
          <w:r>
            <w:rPr>
              <w:rFonts w:hint="eastAsia"/>
              <w:bCs/>
              <w:szCs w:val="44"/>
              <w:lang w:val="en-US" w:eastAsia="zh-CN"/>
            </w:rPr>
            <w:t>第四章  合同条款及合同格式</w:t>
          </w:r>
          <w:r>
            <w:tab/>
          </w:r>
          <w:r>
            <w:fldChar w:fldCharType="begin"/>
          </w:r>
          <w:r>
            <w:instrText xml:space="preserve"> PAGEREF _Toc27442 \h </w:instrText>
          </w:r>
          <w:r>
            <w:fldChar w:fldCharType="separate"/>
          </w:r>
          <w:r>
            <w:t>17</w:t>
          </w:r>
          <w:r>
            <w:fldChar w:fldCharType="end"/>
          </w:r>
          <w:r>
            <w:rPr>
              <w:rFonts w:hint="eastAsia" w:ascii="宋体" w:hAnsi="宋体" w:eastAsia="宋体" w:cs="宋体"/>
              <w:bCs/>
              <w:szCs w:val="24"/>
              <w:lang w:val="en-US" w:eastAsia="zh-CN" w:bidi="ar-SA"/>
            </w:rPr>
            <w:fldChar w:fldCharType="end"/>
          </w:r>
        </w:p>
        <w:p w14:paraId="782CB100">
          <w:pPr>
            <w:pStyle w:val="24"/>
            <w:tabs>
              <w:tab w:val="right" w:leader="dot" w:pos="9921"/>
            </w:tabs>
          </w:pP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_Toc12305 </w:instrText>
          </w:r>
          <w:r>
            <w:rPr>
              <w:rFonts w:hint="eastAsia" w:ascii="宋体" w:hAnsi="宋体" w:eastAsia="宋体" w:cs="宋体"/>
              <w:bCs/>
              <w:szCs w:val="24"/>
              <w:lang w:val="en-US" w:eastAsia="zh-CN" w:bidi="ar-SA"/>
            </w:rPr>
            <w:fldChar w:fldCharType="separate"/>
          </w:r>
          <w:r>
            <w:rPr>
              <w:rFonts w:hint="eastAsia"/>
              <w:bCs/>
              <w:szCs w:val="44"/>
              <w:highlight w:val="none"/>
              <w:lang w:val="en-US" w:eastAsia="zh-CN"/>
            </w:rPr>
            <w:t xml:space="preserve">第五章  </w:t>
          </w:r>
          <w:r>
            <w:rPr>
              <w:rFonts w:hint="eastAsia" w:ascii="Times New Roman" w:hAnsi="Times New Roman" w:cs="Times New Roman"/>
              <w:bCs/>
              <w:szCs w:val="44"/>
              <w:highlight w:val="none"/>
              <w:lang w:val="en-US" w:eastAsia="zh-CN"/>
            </w:rPr>
            <w:t>技术要求</w:t>
          </w:r>
          <w:r>
            <w:tab/>
          </w:r>
          <w:r>
            <w:fldChar w:fldCharType="begin"/>
          </w:r>
          <w:r>
            <w:instrText xml:space="preserve"> PAGEREF _Toc12305 \h </w:instrText>
          </w:r>
          <w:r>
            <w:fldChar w:fldCharType="separate"/>
          </w:r>
          <w:r>
            <w:t>21</w:t>
          </w:r>
          <w:r>
            <w:fldChar w:fldCharType="end"/>
          </w:r>
          <w:r>
            <w:rPr>
              <w:rFonts w:hint="eastAsia" w:ascii="宋体" w:hAnsi="宋体" w:eastAsia="宋体" w:cs="宋体"/>
              <w:bCs/>
              <w:szCs w:val="24"/>
              <w:lang w:val="en-US" w:eastAsia="zh-CN" w:bidi="ar-SA"/>
            </w:rPr>
            <w:fldChar w:fldCharType="end"/>
          </w:r>
        </w:p>
        <w:p w14:paraId="037FBD6C">
          <w:pPr>
            <w:pStyle w:val="24"/>
            <w:tabs>
              <w:tab w:val="right" w:leader="dot" w:pos="9921"/>
            </w:tabs>
          </w:pPr>
          <w:r>
            <w:rPr>
              <w:rFonts w:hint="eastAsia" w:ascii="宋体" w:hAnsi="宋体" w:eastAsia="宋体" w:cs="宋体"/>
              <w:bCs/>
              <w:szCs w:val="24"/>
              <w:lang w:val="en-US" w:eastAsia="zh-CN" w:bidi="ar-SA"/>
            </w:rPr>
            <w:fldChar w:fldCharType="begin"/>
          </w:r>
          <w:r>
            <w:rPr>
              <w:rFonts w:hint="eastAsia" w:ascii="宋体" w:hAnsi="宋体" w:eastAsia="宋体" w:cs="宋体"/>
              <w:bCs/>
              <w:szCs w:val="24"/>
              <w:lang w:val="en-US" w:eastAsia="zh-CN" w:bidi="ar-SA"/>
            </w:rPr>
            <w:instrText xml:space="preserve"> HYPERLINK \l _Toc2145 </w:instrText>
          </w:r>
          <w:r>
            <w:rPr>
              <w:rFonts w:hint="eastAsia" w:ascii="宋体" w:hAnsi="宋体" w:eastAsia="宋体" w:cs="宋体"/>
              <w:bCs/>
              <w:szCs w:val="24"/>
              <w:lang w:val="en-US" w:eastAsia="zh-CN" w:bidi="ar-SA"/>
            </w:rPr>
            <w:fldChar w:fldCharType="separate"/>
          </w:r>
          <w:r>
            <w:rPr>
              <w:rFonts w:hint="eastAsia"/>
              <w:bCs/>
              <w:szCs w:val="44"/>
              <w:lang w:val="en-US" w:eastAsia="zh-CN"/>
            </w:rPr>
            <w:t>第六章  投标文件格式</w:t>
          </w:r>
          <w:r>
            <w:tab/>
          </w:r>
          <w:r>
            <w:fldChar w:fldCharType="begin"/>
          </w:r>
          <w:r>
            <w:instrText xml:space="preserve"> PAGEREF _Toc2145 \h </w:instrText>
          </w:r>
          <w:r>
            <w:fldChar w:fldCharType="separate"/>
          </w:r>
          <w:r>
            <w:t>30</w:t>
          </w:r>
          <w:r>
            <w:fldChar w:fldCharType="end"/>
          </w:r>
          <w:r>
            <w:rPr>
              <w:rFonts w:hint="eastAsia" w:ascii="宋体" w:hAnsi="宋体" w:eastAsia="宋体" w:cs="宋体"/>
              <w:bCs/>
              <w:szCs w:val="24"/>
              <w:lang w:val="en-US" w:eastAsia="zh-CN" w:bidi="ar-SA"/>
            </w:rPr>
            <w:fldChar w:fldCharType="end"/>
          </w:r>
        </w:p>
        <w:p w14:paraId="68F44491">
          <w:pPr>
            <w:ind w:left="425" w:hanging="425"/>
            <w:rPr>
              <w:rFonts w:hint="eastAsia" w:ascii="宋体" w:hAnsi="宋体" w:eastAsia="宋体" w:cs="宋体"/>
              <w:bCs/>
              <w:sz w:val="24"/>
              <w:szCs w:val="24"/>
              <w:lang w:val="en-US" w:eastAsia="zh-CN" w:bidi="ar-SA"/>
            </w:rPr>
          </w:pPr>
          <w:r>
            <w:rPr>
              <w:rFonts w:hint="eastAsia" w:ascii="宋体" w:hAnsi="宋体" w:eastAsia="宋体" w:cs="宋体"/>
              <w:bCs/>
              <w:szCs w:val="24"/>
              <w:lang w:val="en-US" w:eastAsia="zh-CN" w:bidi="ar-SA"/>
            </w:rPr>
            <w:fldChar w:fldCharType="end"/>
          </w:r>
        </w:p>
      </w:sdtContent>
    </w:sdt>
    <w:p w14:paraId="16A46C1A">
      <w:pPr>
        <w:ind w:left="425" w:hanging="425"/>
        <w:rPr>
          <w:rFonts w:hint="eastAsia" w:ascii="宋体" w:hAnsi="宋体" w:eastAsia="宋体" w:cs="宋体"/>
          <w:bCs/>
          <w:sz w:val="24"/>
          <w:szCs w:val="24"/>
          <w:lang w:val="en-US" w:eastAsia="zh-CN" w:bidi="ar-SA"/>
        </w:rPr>
      </w:pPr>
    </w:p>
    <w:p w14:paraId="697BC3DB">
      <w:pPr>
        <w:rPr>
          <w:rFonts w:hint="eastAsia"/>
        </w:rPr>
      </w:pPr>
    </w:p>
    <w:p w14:paraId="474DFF7B">
      <w:pPr>
        <w:rPr>
          <w:rFonts w:hint="eastAsia"/>
        </w:rPr>
      </w:pPr>
    </w:p>
    <w:p w14:paraId="197D9FDE">
      <w:pPr>
        <w:rPr>
          <w:rFonts w:hint="eastAsia"/>
        </w:rPr>
      </w:pPr>
    </w:p>
    <w:p w14:paraId="48AFF505">
      <w:pPr>
        <w:pStyle w:val="52"/>
      </w:pPr>
    </w:p>
    <w:p w14:paraId="220B060E">
      <w:pPr>
        <w:pStyle w:val="52"/>
      </w:pPr>
    </w:p>
    <w:p w14:paraId="683CE1EA">
      <w:pPr>
        <w:rPr>
          <w:rFonts w:hAnsi="Times New Roman"/>
          <w:color w:val="000000"/>
        </w:rPr>
      </w:pPr>
      <w:r>
        <w:br w:type="page"/>
      </w:r>
    </w:p>
    <w:p w14:paraId="34197950">
      <w:pPr>
        <w:pStyle w:val="2"/>
        <w:keepNext/>
        <w:keepLines w:val="0"/>
        <w:pageBreakBefore w:val="0"/>
        <w:widowControl w:val="0"/>
        <w:numPr>
          <w:ilvl w:val="0"/>
          <w:numId w:val="0"/>
        </w:numPr>
        <w:kinsoku/>
        <w:topLinePunct w:val="0"/>
        <w:bidi w:val="0"/>
        <w:ind w:leftChars="0"/>
        <w:jc w:val="center"/>
        <w:rPr>
          <w:rFonts w:hint="eastAsia" w:ascii="宋体" w:hAnsi="宋体" w:eastAsia="宋体" w:cs="宋体"/>
          <w:b/>
          <w:bCs/>
          <w:sz w:val="44"/>
          <w:szCs w:val="44"/>
          <w:highlight w:val="none"/>
        </w:rPr>
      </w:pPr>
      <w:bookmarkStart w:id="0" w:name="报价方须知前附表"/>
      <w:bookmarkEnd w:id="0"/>
      <w:bookmarkStart w:id="1" w:name="_Toc2771"/>
      <w:bookmarkStart w:id="2" w:name="_Toc3724"/>
      <w:bookmarkStart w:id="3" w:name="_Toc550"/>
      <w:bookmarkStart w:id="4" w:name="_Toc4535"/>
      <w:bookmarkStart w:id="5" w:name="_Toc27286"/>
      <w:bookmarkStart w:id="6" w:name="_Toc7842"/>
      <w:bookmarkStart w:id="7" w:name="_Toc1505"/>
      <w:bookmarkStart w:id="8" w:name="_Toc26550"/>
      <w:bookmarkStart w:id="9" w:name="_Toc16529"/>
      <w:bookmarkStart w:id="10" w:name="_Toc26164"/>
      <w:bookmarkStart w:id="11" w:name="_Toc20233"/>
      <w:r>
        <w:rPr>
          <w:rFonts w:hint="eastAsia" w:ascii="宋体" w:hAnsi="宋体" w:eastAsia="宋体" w:cs="宋体"/>
          <w:b/>
          <w:bCs/>
          <w:sz w:val="44"/>
          <w:szCs w:val="44"/>
          <w:highlight w:val="none"/>
          <w:lang w:val="en-US" w:eastAsia="zh-CN"/>
        </w:rPr>
        <w:t xml:space="preserve">第一章 </w:t>
      </w:r>
      <w:r>
        <w:rPr>
          <w:rFonts w:hint="eastAsia" w:ascii="宋体" w:hAnsi="宋体" w:cs="宋体"/>
          <w:b/>
          <w:bCs/>
          <w:sz w:val="44"/>
          <w:szCs w:val="44"/>
          <w:highlight w:val="none"/>
          <w:lang w:val="en-US" w:eastAsia="zh-CN"/>
        </w:rPr>
        <w:t>竞争性谈判</w:t>
      </w:r>
      <w:r>
        <w:rPr>
          <w:rFonts w:hint="eastAsia" w:ascii="宋体" w:hAnsi="宋体" w:eastAsia="宋体" w:cs="宋体"/>
          <w:b/>
          <w:bCs/>
          <w:sz w:val="44"/>
          <w:szCs w:val="44"/>
          <w:highlight w:val="none"/>
        </w:rPr>
        <w:t>公告</w:t>
      </w:r>
      <w:bookmarkEnd w:id="1"/>
      <w:bookmarkEnd w:id="2"/>
      <w:bookmarkEnd w:id="3"/>
      <w:bookmarkEnd w:id="4"/>
      <w:bookmarkEnd w:id="5"/>
      <w:bookmarkEnd w:id="6"/>
      <w:bookmarkEnd w:id="7"/>
      <w:bookmarkEnd w:id="8"/>
      <w:bookmarkEnd w:id="9"/>
      <w:bookmarkEnd w:id="10"/>
    </w:p>
    <w:p w14:paraId="2882FD3E">
      <w:pPr>
        <w:pStyle w:val="3"/>
        <w:numPr>
          <w:ilvl w:val="0"/>
          <w:numId w:val="0"/>
        </w:numPr>
        <w:tabs>
          <w:tab w:val="left" w:pos="1021"/>
          <w:tab w:val="clear" w:pos="0"/>
        </w:tabs>
        <w:bidi w:val="0"/>
        <w:ind w:left="397" w:leftChars="0"/>
        <w:rPr>
          <w:rFonts w:hint="eastAsia" w:ascii="Times New Roman" w:hAnsi="Times New Roman" w:cs="Times New Roman"/>
          <w:lang w:val="en-US" w:eastAsia="zh-CN"/>
        </w:rPr>
      </w:pPr>
      <w:bookmarkStart w:id="12" w:name="_Toc67"/>
      <w:bookmarkStart w:id="13" w:name="_Toc21401"/>
      <w:bookmarkStart w:id="14" w:name="_Toc9430"/>
      <w:bookmarkStart w:id="15" w:name="_Toc875"/>
      <w:bookmarkStart w:id="16" w:name="_Toc2593"/>
      <w:bookmarkStart w:id="17" w:name="_Toc2259"/>
      <w:bookmarkStart w:id="18" w:name="_Toc24805"/>
      <w:r>
        <w:rPr>
          <w:rFonts w:hint="eastAsia" w:ascii="宋体" w:hAnsi="宋体" w:eastAsia="宋体" w:cs="宋体"/>
          <w:b/>
          <w:bCs w:val="0"/>
          <w:color w:val="auto"/>
          <w:kern w:val="0"/>
          <w:sz w:val="24"/>
          <w:szCs w:val="24"/>
          <w:highlight w:val="none"/>
          <w:lang w:val="en-US" w:eastAsia="zh-CN" w:bidi="zh-CN"/>
        </w:rPr>
        <w:t>一、采购条件</w:t>
      </w:r>
      <w:bookmarkEnd w:id="12"/>
      <w:bookmarkEnd w:id="13"/>
      <w:bookmarkEnd w:id="14"/>
      <w:bookmarkEnd w:id="15"/>
      <w:bookmarkEnd w:id="16"/>
      <w:bookmarkEnd w:id="17"/>
      <w:bookmarkEnd w:id="18"/>
    </w:p>
    <w:p w14:paraId="6C47AB74">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项目名称：兰州兰石集团有限公司动力公司混合气站采购项目</w:t>
      </w:r>
    </w:p>
    <w:p w14:paraId="792E0844">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竞争性谈判编号：LSPS-202-260811-005</w:t>
      </w:r>
    </w:p>
    <w:p w14:paraId="34849F85">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招标单位：兰州兰石集团有限公司（动力公司）</w:t>
      </w:r>
    </w:p>
    <w:p w14:paraId="168CCD45">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招标方式：公开</w:t>
      </w:r>
      <w:r>
        <w:rPr>
          <w:rFonts w:hint="eastAsia" w:cs="宋体"/>
          <w:color w:val="auto"/>
          <w:kern w:val="0"/>
          <w:sz w:val="24"/>
          <w:szCs w:val="28"/>
          <w:highlight w:val="none"/>
          <w:lang w:val="en-US" w:eastAsia="zh-CN" w:bidi="zh-CN"/>
        </w:rPr>
        <w:t>竞争性谈判</w:t>
      </w:r>
      <w:r>
        <w:rPr>
          <w:rFonts w:hint="eastAsia" w:ascii="宋体" w:hAnsi="宋体" w:eastAsia="宋体" w:cs="宋体"/>
          <w:color w:val="auto"/>
          <w:kern w:val="0"/>
          <w:sz w:val="24"/>
          <w:szCs w:val="28"/>
          <w:highlight w:val="none"/>
          <w:lang w:val="en-US" w:eastAsia="zh-CN" w:bidi="zh-CN"/>
        </w:rPr>
        <w:t>。</w:t>
      </w:r>
    </w:p>
    <w:p w14:paraId="010EEE07">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b/>
          <w:bCs w:val="0"/>
          <w:color w:val="auto"/>
          <w:kern w:val="0"/>
          <w:sz w:val="24"/>
          <w:szCs w:val="24"/>
          <w:highlight w:val="none"/>
          <w:lang w:val="en-US" w:eastAsia="zh-CN" w:bidi="zh-CN"/>
        </w:rPr>
      </w:pPr>
      <w:bookmarkStart w:id="19" w:name="_Toc22978"/>
      <w:bookmarkStart w:id="20" w:name="_Toc20896"/>
      <w:bookmarkStart w:id="21" w:name="_Toc31939"/>
      <w:bookmarkStart w:id="22" w:name="_Toc4619"/>
      <w:bookmarkStart w:id="23" w:name="_Toc27484"/>
      <w:bookmarkStart w:id="24" w:name="_Toc10171"/>
      <w:bookmarkStart w:id="25" w:name="_Toc3062"/>
      <w:r>
        <w:rPr>
          <w:rFonts w:hint="eastAsia" w:ascii="宋体" w:hAnsi="宋体" w:eastAsia="宋体" w:cs="宋体"/>
          <w:b/>
          <w:bCs w:val="0"/>
          <w:color w:val="auto"/>
          <w:kern w:val="0"/>
          <w:sz w:val="24"/>
          <w:szCs w:val="24"/>
          <w:highlight w:val="none"/>
          <w:lang w:val="en-US" w:eastAsia="zh-CN" w:bidi="zh-CN"/>
        </w:rPr>
        <w:t>二、项目概述</w:t>
      </w:r>
      <w:bookmarkEnd w:id="19"/>
      <w:bookmarkEnd w:id="20"/>
      <w:bookmarkEnd w:id="21"/>
      <w:bookmarkEnd w:id="22"/>
      <w:bookmarkEnd w:id="23"/>
      <w:bookmarkEnd w:id="24"/>
      <w:bookmarkEnd w:id="25"/>
    </w:p>
    <w:p w14:paraId="1B7E9BAD">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1.建设地点：甘肃省兰州市兰州新区兰石高端装备制造产业园。</w:t>
      </w:r>
    </w:p>
    <w:p w14:paraId="1C3D625B">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2.招标范围：采购30m3液氩储罐及二氧化碳（二氧化碳储罐利旧）和氩气混合装置，管道改造、设备（含附属设备）的运输、卸货、安装、连接、系统调试、性能测试、气体配比验证、操作培训、售后服务等内容。</w:t>
      </w:r>
    </w:p>
    <w:p w14:paraId="23AEAB43">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cs="宋体"/>
          <w:b/>
          <w:bCs/>
          <w:color w:val="auto"/>
          <w:kern w:val="0"/>
          <w:sz w:val="24"/>
          <w:szCs w:val="28"/>
          <w:highlight w:val="none"/>
          <w:lang w:val="en-US" w:eastAsia="zh-CN" w:bidi="zh-CN"/>
        </w:rPr>
        <w:t>特别说明</w:t>
      </w:r>
      <w:r>
        <w:rPr>
          <w:rFonts w:hint="eastAsia" w:cs="宋体"/>
          <w:color w:val="auto"/>
          <w:kern w:val="0"/>
          <w:sz w:val="24"/>
          <w:szCs w:val="28"/>
          <w:highlight w:val="none"/>
          <w:lang w:val="en-US" w:eastAsia="zh-CN" w:bidi="zh-CN"/>
        </w:rPr>
        <w:t>：1.</w:t>
      </w:r>
      <w:r>
        <w:rPr>
          <w:rFonts w:hint="eastAsia" w:ascii="宋体" w:hAnsi="宋体" w:eastAsia="宋体" w:cs="宋体"/>
          <w:color w:val="auto"/>
          <w:kern w:val="0"/>
          <w:sz w:val="24"/>
          <w:szCs w:val="28"/>
          <w:highlight w:val="none"/>
          <w:lang w:val="en-US" w:eastAsia="zh-CN" w:bidi="zh-CN"/>
        </w:rPr>
        <w:t>所供设备须为取得相应特种设备生产许可的单位制造，出厂时随附安全技术规范要求的设计文件、产品质量合格证明、安装及使用维护保养说明、监督检验证明等相关技术资料和文件</w:t>
      </w:r>
      <w:r>
        <w:rPr>
          <w:rFonts w:hint="eastAsia" w:cs="宋体"/>
          <w:color w:val="auto"/>
          <w:kern w:val="0"/>
          <w:sz w:val="24"/>
          <w:szCs w:val="28"/>
          <w:highlight w:val="none"/>
          <w:lang w:val="en-US" w:eastAsia="zh-CN" w:bidi="zh-CN"/>
        </w:rPr>
        <w:t>。2.</w:t>
      </w:r>
      <w:r>
        <w:rPr>
          <w:rFonts w:hint="eastAsia" w:ascii="宋体" w:hAnsi="宋体" w:eastAsia="宋体" w:cs="宋体"/>
          <w:color w:val="auto"/>
          <w:kern w:val="0"/>
          <w:sz w:val="24"/>
          <w:szCs w:val="28"/>
          <w:highlight w:val="none"/>
          <w:lang w:val="en-US" w:eastAsia="zh-CN" w:bidi="zh-CN"/>
        </w:rPr>
        <w:t>对利旧的二氧化碳储罐与新建液氩储罐至混合装置之间的连接管道进行改造，包括管道系统的安装、焊接、无损检测、压力试验等全部工作。管道改造须符合</w:t>
      </w:r>
      <w:r>
        <w:rPr>
          <w:rFonts w:ascii="Segoe UI" w:hAnsi="Segoe UI" w:eastAsia="Segoe UI" w:cs="Segoe UI"/>
          <w:b/>
          <w:bCs/>
          <w:i w:val="0"/>
          <w:iCs w:val="0"/>
          <w:caps w:val="0"/>
          <w:color w:val="0F1115"/>
          <w:spacing w:val="0"/>
          <w:sz w:val="24"/>
          <w:szCs w:val="24"/>
          <w:shd w:val="clear" w:fill="FFFFFF"/>
        </w:rPr>
        <w:t>《工业管道安全技术规程》（TSG 31-2025）</w:t>
      </w:r>
      <w:r>
        <w:rPr>
          <w:rFonts w:hint="eastAsia" w:ascii="宋体" w:hAnsi="宋体" w:eastAsia="宋体" w:cs="宋体"/>
          <w:color w:val="auto"/>
          <w:kern w:val="0"/>
          <w:sz w:val="24"/>
          <w:szCs w:val="28"/>
          <w:highlight w:val="none"/>
          <w:lang w:val="en-US" w:eastAsia="zh-CN" w:bidi="zh-CN"/>
        </w:rPr>
        <w:t>的相关要求。</w:t>
      </w:r>
      <w:r>
        <w:rPr>
          <w:rFonts w:hint="eastAsia" w:cs="宋体"/>
          <w:color w:val="auto"/>
          <w:kern w:val="0"/>
          <w:sz w:val="24"/>
          <w:szCs w:val="28"/>
          <w:highlight w:val="none"/>
          <w:lang w:val="en-US" w:eastAsia="zh-CN" w:bidi="zh-CN"/>
        </w:rPr>
        <w:t>3.</w:t>
      </w:r>
      <w:r>
        <w:rPr>
          <w:rFonts w:hint="eastAsia" w:ascii="宋体" w:hAnsi="宋体" w:eastAsia="宋体" w:cs="宋体"/>
          <w:color w:val="auto"/>
          <w:kern w:val="0"/>
          <w:sz w:val="24"/>
          <w:szCs w:val="28"/>
          <w:highlight w:val="none"/>
          <w:lang w:val="en-US" w:eastAsia="zh-CN" w:bidi="zh-CN"/>
        </w:rPr>
        <w:t>负责液氩储罐、混合装置及配套管道的现场安装就位、设备间连接、与原有系统的对接，以及安全附件（安全阀、压力表、液位计等）和仪表的安装调试。安装工作须由取得相应特种设备安装许可的单位进行。</w:t>
      </w:r>
      <w:r>
        <w:rPr>
          <w:rFonts w:hint="eastAsia" w:cs="宋体"/>
          <w:color w:val="auto"/>
          <w:kern w:val="0"/>
          <w:sz w:val="24"/>
          <w:szCs w:val="28"/>
          <w:highlight w:val="none"/>
          <w:lang w:val="en-US" w:eastAsia="zh-CN" w:bidi="zh-CN"/>
        </w:rPr>
        <w:t>4.办理</w:t>
      </w:r>
      <w:r>
        <w:rPr>
          <w:rFonts w:hint="eastAsia" w:ascii="宋体" w:hAnsi="宋体" w:eastAsia="宋体" w:cs="宋体"/>
          <w:color w:val="auto"/>
          <w:kern w:val="0"/>
          <w:sz w:val="24"/>
          <w:szCs w:val="28"/>
          <w:highlight w:val="none"/>
          <w:lang w:val="en-US" w:eastAsia="zh-CN" w:bidi="zh-CN"/>
        </w:rPr>
        <w:t>施工告知</w:t>
      </w:r>
      <w:r>
        <w:rPr>
          <w:rFonts w:hint="eastAsia" w:cs="宋体"/>
          <w:color w:val="auto"/>
          <w:kern w:val="0"/>
          <w:sz w:val="24"/>
          <w:szCs w:val="28"/>
          <w:highlight w:val="none"/>
          <w:lang w:val="en-US" w:eastAsia="zh-CN" w:bidi="zh-CN"/>
        </w:rPr>
        <w:t>，</w:t>
      </w:r>
      <w:r>
        <w:rPr>
          <w:rFonts w:hint="eastAsia" w:ascii="宋体" w:hAnsi="宋体" w:eastAsia="宋体" w:cs="宋体"/>
          <w:color w:val="auto"/>
          <w:kern w:val="0"/>
          <w:sz w:val="24"/>
          <w:szCs w:val="28"/>
          <w:highlight w:val="none"/>
          <w:lang w:val="en-US" w:eastAsia="zh-CN" w:bidi="zh-CN"/>
        </w:rPr>
        <w:t>中标人作为特种设备安装、改造、修理的施工单位，应在施工前将拟进行的特种设备安装、改造、修理情况书面告知</w:t>
      </w:r>
      <w:r>
        <w:rPr>
          <w:rFonts w:hint="eastAsia" w:cs="宋体"/>
          <w:color w:val="auto"/>
          <w:kern w:val="0"/>
          <w:sz w:val="24"/>
          <w:szCs w:val="28"/>
          <w:highlight w:val="none"/>
          <w:lang w:val="en-US" w:eastAsia="zh-CN" w:bidi="zh-CN"/>
        </w:rPr>
        <w:t>兰州新区商务和市场监管局</w:t>
      </w:r>
      <w:r>
        <w:rPr>
          <w:rFonts w:hint="eastAsia" w:ascii="宋体" w:hAnsi="宋体" w:eastAsia="宋体" w:cs="宋体"/>
          <w:color w:val="auto"/>
          <w:kern w:val="0"/>
          <w:sz w:val="24"/>
          <w:szCs w:val="28"/>
          <w:highlight w:val="none"/>
          <w:lang w:val="en-US" w:eastAsia="zh-CN" w:bidi="zh-CN"/>
        </w:rPr>
        <w:t>。</w:t>
      </w:r>
      <w:r>
        <w:rPr>
          <w:rFonts w:hint="eastAsia" w:cs="宋体"/>
          <w:color w:val="auto"/>
          <w:kern w:val="0"/>
          <w:sz w:val="24"/>
          <w:szCs w:val="28"/>
          <w:highlight w:val="none"/>
          <w:lang w:val="en-US" w:eastAsia="zh-CN" w:bidi="zh-CN"/>
        </w:rPr>
        <w:t>5.</w:t>
      </w:r>
      <w:r>
        <w:rPr>
          <w:rFonts w:hint="eastAsia" w:ascii="宋体" w:hAnsi="宋体" w:eastAsia="宋体" w:cs="宋体"/>
          <w:color w:val="auto"/>
          <w:kern w:val="0"/>
          <w:sz w:val="24"/>
          <w:szCs w:val="28"/>
          <w:highlight w:val="none"/>
          <w:lang w:val="en-US" w:eastAsia="zh-CN" w:bidi="zh-CN"/>
        </w:rPr>
        <w:t>本次压力容器安装、改造及压力管道安装过程，应当经特种设备检验机构按照安全技术规范的要求进行监督检验；未经监督检验或者监督检验不合格的，不得交付使用。中标人应配合监督检验工作，包括检验前准备工作、检验检测部位的打磨、无损检测配合等。监督检验在安装、改造单位自检合格的基础上进行</w:t>
      </w:r>
      <w:r>
        <w:rPr>
          <w:rFonts w:hint="eastAsia" w:cs="宋体"/>
          <w:color w:val="auto"/>
          <w:kern w:val="0"/>
          <w:sz w:val="24"/>
          <w:szCs w:val="28"/>
          <w:highlight w:val="none"/>
          <w:lang w:val="en-US" w:eastAsia="zh-CN" w:bidi="zh-CN"/>
        </w:rPr>
        <w:t>。6.</w:t>
      </w:r>
      <w:r>
        <w:rPr>
          <w:rFonts w:hint="eastAsia" w:ascii="宋体" w:hAnsi="宋体" w:eastAsia="宋体" w:cs="宋体"/>
          <w:color w:val="auto"/>
          <w:kern w:val="0"/>
          <w:sz w:val="24"/>
          <w:szCs w:val="28"/>
          <w:highlight w:val="none"/>
          <w:lang w:val="en-US" w:eastAsia="zh-CN" w:bidi="zh-CN"/>
        </w:rPr>
        <w:t>完成设备安装及管道连接后，进行整体系统的调试运行，包括系统气密性试验、压力试验、安全附件校验等</w:t>
      </w:r>
      <w:r>
        <w:rPr>
          <w:rFonts w:hint="eastAsia" w:cs="宋体"/>
          <w:color w:val="auto"/>
          <w:kern w:val="0"/>
          <w:sz w:val="24"/>
          <w:szCs w:val="28"/>
          <w:highlight w:val="none"/>
          <w:lang w:val="en-US" w:eastAsia="zh-CN" w:bidi="zh-CN"/>
        </w:rPr>
        <w:t>。7.</w:t>
      </w:r>
      <w:r>
        <w:rPr>
          <w:rFonts w:hint="eastAsia" w:ascii="宋体" w:hAnsi="宋体" w:eastAsia="宋体" w:cs="宋体"/>
          <w:color w:val="auto"/>
          <w:kern w:val="0"/>
          <w:sz w:val="24"/>
          <w:szCs w:val="28"/>
          <w:highlight w:val="none"/>
          <w:lang w:val="en-US" w:eastAsia="zh-CN" w:bidi="zh-CN"/>
        </w:rPr>
        <w:t>对氩气与二氧化碳的混合配比进行验证，确保混合气体配比精度满足工艺要求。</w:t>
      </w:r>
      <w:r>
        <w:rPr>
          <w:rFonts w:hint="eastAsia" w:cs="宋体"/>
          <w:color w:val="auto"/>
          <w:kern w:val="0"/>
          <w:sz w:val="24"/>
          <w:szCs w:val="28"/>
          <w:highlight w:val="none"/>
          <w:lang w:val="en-US" w:eastAsia="zh-CN" w:bidi="zh-CN"/>
        </w:rPr>
        <w:t>8.</w:t>
      </w:r>
      <w:r>
        <w:rPr>
          <w:rFonts w:hint="eastAsia" w:ascii="宋体" w:hAnsi="宋体" w:eastAsia="宋体" w:cs="宋体"/>
          <w:color w:val="auto"/>
          <w:kern w:val="0"/>
          <w:sz w:val="24"/>
          <w:szCs w:val="28"/>
          <w:highlight w:val="none"/>
          <w:lang w:val="en-US" w:eastAsia="zh-CN" w:bidi="zh-CN"/>
        </w:rPr>
        <w:t>对招标人操作及维护人员进行设备操作、日常维护、安全注意事项及应急处置等方面的培训。</w:t>
      </w:r>
      <w:r>
        <w:rPr>
          <w:rFonts w:hint="eastAsia" w:cs="宋体"/>
          <w:color w:val="auto"/>
          <w:kern w:val="0"/>
          <w:sz w:val="24"/>
          <w:szCs w:val="28"/>
          <w:highlight w:val="none"/>
          <w:lang w:val="en-US" w:eastAsia="zh-CN" w:bidi="zh-CN"/>
        </w:rPr>
        <w:t>9.</w:t>
      </w:r>
      <w:r>
        <w:rPr>
          <w:rFonts w:hint="eastAsia" w:ascii="宋体" w:hAnsi="宋体" w:eastAsia="宋体" w:cs="宋体"/>
          <w:color w:val="auto"/>
          <w:kern w:val="0"/>
          <w:sz w:val="24"/>
          <w:szCs w:val="28"/>
          <w:highlight w:val="none"/>
          <w:lang w:val="en-US" w:eastAsia="zh-CN" w:bidi="zh-CN"/>
        </w:rPr>
        <w:t>竣工资料移交</w:t>
      </w:r>
      <w:r>
        <w:rPr>
          <w:rFonts w:hint="eastAsia" w:cs="宋体"/>
          <w:color w:val="auto"/>
          <w:kern w:val="0"/>
          <w:sz w:val="24"/>
          <w:szCs w:val="28"/>
          <w:highlight w:val="none"/>
          <w:lang w:val="en-US" w:eastAsia="zh-CN" w:bidi="zh-CN"/>
        </w:rPr>
        <w:t>，</w:t>
      </w:r>
      <w:r>
        <w:rPr>
          <w:rFonts w:hint="eastAsia" w:ascii="宋体" w:hAnsi="宋体" w:eastAsia="宋体" w:cs="宋体"/>
          <w:color w:val="auto"/>
          <w:kern w:val="0"/>
          <w:sz w:val="24"/>
          <w:szCs w:val="28"/>
          <w:highlight w:val="none"/>
          <w:lang w:val="en-US" w:eastAsia="zh-CN" w:bidi="zh-CN"/>
        </w:rPr>
        <w:t>特种设备安装、改造、修理竣工后，中标人应将特种设备的</w:t>
      </w:r>
      <w:r>
        <w:rPr>
          <w:rFonts w:hint="eastAsia" w:cs="宋体"/>
          <w:color w:val="auto"/>
          <w:kern w:val="0"/>
          <w:sz w:val="24"/>
          <w:szCs w:val="28"/>
          <w:highlight w:val="none"/>
          <w:lang w:val="en-US" w:eastAsia="zh-CN" w:bidi="zh-CN"/>
        </w:rPr>
        <w:t>相关</w:t>
      </w:r>
      <w:r>
        <w:rPr>
          <w:rFonts w:hint="eastAsia" w:ascii="宋体" w:hAnsi="宋体" w:eastAsia="宋体" w:cs="宋体"/>
          <w:color w:val="auto"/>
          <w:kern w:val="0"/>
          <w:sz w:val="24"/>
          <w:szCs w:val="28"/>
          <w:highlight w:val="none"/>
          <w:lang w:val="en-US" w:eastAsia="zh-CN" w:bidi="zh-CN"/>
        </w:rPr>
        <w:t>设计文件</w:t>
      </w:r>
      <w:r>
        <w:rPr>
          <w:rFonts w:hint="eastAsia" w:cs="宋体"/>
          <w:color w:val="auto"/>
          <w:kern w:val="0"/>
          <w:sz w:val="24"/>
          <w:szCs w:val="28"/>
          <w:highlight w:val="none"/>
          <w:lang w:val="en-US" w:eastAsia="zh-CN" w:bidi="zh-CN"/>
        </w:rPr>
        <w:t>（蓝图）</w:t>
      </w:r>
      <w:r>
        <w:rPr>
          <w:rFonts w:hint="eastAsia" w:ascii="宋体" w:hAnsi="宋体" w:eastAsia="宋体" w:cs="宋体"/>
          <w:color w:val="auto"/>
          <w:kern w:val="0"/>
          <w:sz w:val="24"/>
          <w:szCs w:val="28"/>
          <w:highlight w:val="none"/>
          <w:lang w:val="en-US" w:eastAsia="zh-CN" w:bidi="zh-CN"/>
        </w:rPr>
        <w:t>、产品质量合格证明、安装及使用维护保养说明、监督检验证明等特种设备安全技术档案所需的资料和文件</w:t>
      </w:r>
      <w:r>
        <w:rPr>
          <w:rFonts w:hint="eastAsia" w:cs="宋体"/>
          <w:color w:val="auto"/>
          <w:kern w:val="0"/>
          <w:sz w:val="24"/>
          <w:szCs w:val="28"/>
          <w:highlight w:val="none"/>
          <w:lang w:val="en-US" w:eastAsia="zh-CN" w:bidi="zh-CN"/>
        </w:rPr>
        <w:t>纸质版和电子版一并移交招标人。</w:t>
      </w:r>
    </w:p>
    <w:p w14:paraId="2E95B46D">
      <w:pPr>
        <w:rPr>
          <w:rFonts w:hint="eastAsia" w:ascii="宋体" w:hAnsi="宋体" w:eastAsia="宋体" w:cs="宋体"/>
          <w:color w:val="auto"/>
          <w:kern w:val="0"/>
          <w:sz w:val="24"/>
          <w:szCs w:val="28"/>
          <w:highlight w:val="none"/>
          <w:lang w:val="en-US" w:eastAsia="zh-CN" w:bidi="zh-CN"/>
        </w:rPr>
      </w:pPr>
    </w:p>
    <w:p w14:paraId="068F0710">
      <w:pPr>
        <w:rPr>
          <w:rFonts w:hint="eastAsia" w:ascii="宋体" w:hAnsi="宋体" w:eastAsia="宋体" w:cs="宋体"/>
          <w:color w:val="auto"/>
          <w:kern w:val="0"/>
          <w:sz w:val="24"/>
          <w:szCs w:val="28"/>
          <w:highlight w:val="none"/>
          <w:lang w:val="en-US" w:eastAsia="zh-CN" w:bidi="zh-CN"/>
        </w:rPr>
      </w:pPr>
    </w:p>
    <w:p w14:paraId="1917B401">
      <w:pPr>
        <w:pStyle w:val="3"/>
        <w:numPr>
          <w:ilvl w:val="0"/>
          <w:numId w:val="8"/>
        </w:numPr>
        <w:tabs>
          <w:tab w:val="left" w:pos="1021"/>
          <w:tab w:val="clear" w:pos="0"/>
        </w:tabs>
        <w:bidi w:val="0"/>
        <w:rPr>
          <w:rFonts w:hint="eastAsia" w:ascii="宋体" w:hAnsi="宋体" w:eastAsia="宋体" w:cs="宋体"/>
          <w:b/>
          <w:bCs w:val="0"/>
          <w:color w:val="auto"/>
          <w:kern w:val="0"/>
          <w:sz w:val="24"/>
          <w:szCs w:val="24"/>
          <w:highlight w:val="none"/>
          <w:lang w:val="en-US" w:eastAsia="zh-CN" w:bidi="zh-CN"/>
        </w:rPr>
      </w:pPr>
      <w:bookmarkStart w:id="26" w:name="_Toc1517"/>
      <w:bookmarkStart w:id="27" w:name="_Toc511"/>
      <w:bookmarkStart w:id="28" w:name="_Toc6345"/>
      <w:bookmarkStart w:id="29" w:name="_Toc14133"/>
      <w:bookmarkStart w:id="30" w:name="_Toc16055"/>
      <w:bookmarkStart w:id="31" w:name="_Toc10693"/>
      <w:bookmarkStart w:id="32" w:name="_Toc26319"/>
      <w:r>
        <w:rPr>
          <w:rFonts w:hint="eastAsia" w:ascii="宋体" w:hAnsi="宋体" w:eastAsia="宋体" w:cs="宋体"/>
          <w:b/>
          <w:bCs w:val="0"/>
          <w:color w:val="auto"/>
          <w:kern w:val="0"/>
          <w:sz w:val="24"/>
          <w:szCs w:val="24"/>
          <w:highlight w:val="none"/>
          <w:lang w:val="en-US" w:eastAsia="zh-CN" w:bidi="zh-CN"/>
        </w:rPr>
        <w:t>供应商资格要求</w:t>
      </w:r>
      <w:bookmarkEnd w:id="26"/>
      <w:bookmarkEnd w:id="27"/>
      <w:bookmarkEnd w:id="28"/>
      <w:bookmarkEnd w:id="29"/>
      <w:bookmarkEnd w:id="30"/>
      <w:bookmarkEnd w:id="31"/>
      <w:bookmarkEnd w:id="32"/>
      <w:bookmarkStart w:id="33" w:name="_Toc32693_WPSOffice_Level1"/>
      <w:bookmarkStart w:id="34" w:name="_Toc3495_WPSOffice_Level1"/>
      <w:bookmarkStart w:id="35" w:name="_Toc481058504"/>
      <w:bookmarkStart w:id="36" w:name="_Toc307924149"/>
      <w:bookmarkStart w:id="37" w:name="_Toc7632_WPSOffice_Level1"/>
      <w:bookmarkStart w:id="38" w:name="_Toc451443585"/>
      <w:bookmarkStart w:id="39" w:name="_Toc30004_WPSOffice_Level1"/>
      <w:bookmarkStart w:id="40" w:name="_Toc503190247"/>
      <w:bookmarkStart w:id="41" w:name="_Toc461961590"/>
      <w:bookmarkStart w:id="42" w:name="_Toc310252800"/>
      <w:bookmarkStart w:id="43" w:name="_Toc24128_WPSOffice_Level1"/>
      <w:bookmarkStart w:id="44" w:name="_Toc16155_WPSOffice_Level1"/>
    </w:p>
    <w:p w14:paraId="001EBB96">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1.投标人要求应具有独立法人资格，具有有效的营业执照、税务登记证、组织机构代码证（或三证合一的营业执照）且有能力为本项目提供相关产品及服务的企业资质。</w:t>
      </w:r>
    </w:p>
    <w:p w14:paraId="29456FC2">
      <w:pPr>
        <w:pStyle w:val="25"/>
        <w:keepNext w:val="0"/>
        <w:keepLines w:val="0"/>
        <w:pageBreakBefore w:val="0"/>
        <w:kinsoku/>
        <w:overflowPunct/>
        <w:bidi w:val="0"/>
        <w:spacing w:line="480" w:lineRule="exact"/>
        <w:ind w:left="0" w:leftChars="0" w:firstLine="480" w:firstLineChars="200"/>
        <w:rPr>
          <w:rFonts w:hint="default"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2.具备有效的《特种设备生产许可证》 （压力容器</w:t>
      </w:r>
      <w:r>
        <w:rPr>
          <w:rFonts w:hint="eastAsia" w:cs="宋体"/>
          <w:color w:val="auto"/>
          <w:kern w:val="0"/>
          <w:sz w:val="24"/>
          <w:szCs w:val="28"/>
          <w:highlight w:val="none"/>
          <w:lang w:val="en-US" w:eastAsia="zh-CN" w:bidi="zh-CN"/>
        </w:rPr>
        <w:t>、压力管道</w:t>
      </w:r>
      <w:r>
        <w:rPr>
          <w:rFonts w:hint="eastAsia" w:ascii="宋体" w:hAnsi="宋体" w:eastAsia="宋体" w:cs="宋体"/>
          <w:color w:val="auto"/>
          <w:kern w:val="0"/>
          <w:sz w:val="24"/>
          <w:szCs w:val="28"/>
          <w:highlight w:val="none"/>
          <w:lang w:val="en-US" w:eastAsia="zh-CN" w:bidi="zh-CN"/>
        </w:rPr>
        <w:t>）及相关资质证书，并提供有效的加盖公章的证书复印件</w:t>
      </w:r>
    </w:p>
    <w:p w14:paraId="3461B144">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3.供应商商业信誉良好，未被列入“信用中国”网站失信被执行人名单。（网页截图加盖公章）。</w:t>
      </w:r>
    </w:p>
    <w:p w14:paraId="4A038C2E">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4.投标人须提供2024年或2025年度经会计师事务所或审计机构出具的审计报告（复印件加盖公章）或提供银行出具的资信证明（新成立的公司提供）。</w:t>
      </w:r>
    </w:p>
    <w:p w14:paraId="4DC3B093">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5.本项目不接受联合体投标。</w:t>
      </w:r>
    </w:p>
    <w:bookmarkEnd w:id="33"/>
    <w:bookmarkEnd w:id="34"/>
    <w:bookmarkEnd w:id="35"/>
    <w:bookmarkEnd w:id="36"/>
    <w:bookmarkEnd w:id="37"/>
    <w:bookmarkEnd w:id="38"/>
    <w:bookmarkEnd w:id="39"/>
    <w:bookmarkEnd w:id="40"/>
    <w:bookmarkEnd w:id="41"/>
    <w:bookmarkEnd w:id="42"/>
    <w:bookmarkEnd w:id="43"/>
    <w:bookmarkEnd w:id="44"/>
    <w:p w14:paraId="14F99E62">
      <w:pPr>
        <w:keepNext w:val="0"/>
        <w:keepLines w:val="0"/>
        <w:pageBreakBefore w:val="0"/>
        <w:tabs>
          <w:tab w:val="left" w:pos="718"/>
        </w:tabs>
        <w:kinsoku/>
        <w:overflowPunct/>
        <w:autoSpaceDE w:val="0"/>
        <w:autoSpaceDN w:val="0"/>
        <w:bidi w:val="0"/>
        <w:spacing w:line="480" w:lineRule="exact"/>
        <w:ind w:firstLine="480" w:firstLineChars="200"/>
        <w:jc w:val="left"/>
        <w:rPr>
          <w:rFonts w:hint="eastAsia" w:ascii="宋体" w:hAnsi="宋体" w:eastAsia="宋体" w:cs="宋体"/>
          <w:b/>
          <w:bCs w:val="0"/>
          <w:color w:val="auto"/>
          <w:kern w:val="0"/>
          <w:sz w:val="24"/>
          <w:highlight w:val="none"/>
          <w:lang w:val="en-US" w:eastAsia="zh-CN" w:bidi="zh-CN"/>
        </w:rPr>
      </w:pPr>
      <w:r>
        <w:rPr>
          <w:rFonts w:hint="eastAsia" w:ascii="宋体" w:hAnsi="宋体" w:eastAsia="宋体" w:cs="宋体"/>
          <w:b/>
          <w:bCs w:val="0"/>
          <w:color w:val="auto"/>
          <w:kern w:val="0"/>
          <w:sz w:val="24"/>
          <w:highlight w:val="none"/>
          <w:lang w:val="en-US" w:eastAsia="zh-CN" w:bidi="zh-CN"/>
        </w:rPr>
        <w:t>四、招标文件获取及要求</w:t>
      </w:r>
    </w:p>
    <w:p w14:paraId="7BF2F4AC">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1.获取时间：自202</w:t>
      </w:r>
      <w:r>
        <w:rPr>
          <w:rFonts w:hint="eastAsia" w:cs="宋体"/>
          <w:color w:val="auto"/>
          <w:kern w:val="0"/>
          <w:sz w:val="24"/>
          <w:szCs w:val="28"/>
          <w:highlight w:val="none"/>
          <w:lang w:val="en-US" w:eastAsia="zh-CN" w:bidi="zh-CN"/>
        </w:rPr>
        <w:t>6</w:t>
      </w:r>
      <w:r>
        <w:rPr>
          <w:rFonts w:hint="eastAsia" w:ascii="宋体" w:hAnsi="宋体" w:eastAsia="宋体" w:cs="宋体"/>
          <w:color w:val="auto"/>
          <w:kern w:val="0"/>
          <w:sz w:val="24"/>
          <w:szCs w:val="28"/>
          <w:highlight w:val="none"/>
          <w:lang w:val="en-US" w:eastAsia="zh-CN" w:bidi="zh-CN"/>
        </w:rPr>
        <w:t>年08月</w:t>
      </w:r>
      <w:r>
        <w:rPr>
          <w:rFonts w:hint="eastAsia" w:cs="宋体"/>
          <w:color w:val="auto"/>
          <w:kern w:val="0"/>
          <w:sz w:val="24"/>
          <w:szCs w:val="28"/>
          <w:highlight w:val="none"/>
          <w:lang w:val="en-US" w:eastAsia="zh-CN" w:bidi="zh-CN"/>
        </w:rPr>
        <w:t>12</w:t>
      </w:r>
      <w:r>
        <w:rPr>
          <w:rFonts w:hint="eastAsia" w:ascii="宋体" w:hAnsi="宋体" w:eastAsia="宋体" w:cs="宋体"/>
          <w:color w:val="auto"/>
          <w:kern w:val="0"/>
          <w:sz w:val="24"/>
          <w:szCs w:val="28"/>
          <w:highlight w:val="none"/>
          <w:lang w:val="en-US" w:eastAsia="zh-CN" w:bidi="zh-CN"/>
        </w:rPr>
        <w:t>日起至202</w:t>
      </w:r>
      <w:r>
        <w:rPr>
          <w:rFonts w:hint="eastAsia" w:cs="宋体"/>
          <w:color w:val="auto"/>
          <w:kern w:val="0"/>
          <w:sz w:val="24"/>
          <w:szCs w:val="28"/>
          <w:highlight w:val="none"/>
          <w:lang w:val="en-US" w:eastAsia="zh-CN" w:bidi="zh-CN"/>
        </w:rPr>
        <w:t>6</w:t>
      </w:r>
      <w:r>
        <w:rPr>
          <w:rFonts w:hint="eastAsia" w:ascii="宋体" w:hAnsi="宋体" w:eastAsia="宋体" w:cs="宋体"/>
          <w:color w:val="auto"/>
          <w:kern w:val="0"/>
          <w:sz w:val="24"/>
          <w:szCs w:val="28"/>
          <w:highlight w:val="none"/>
          <w:lang w:val="en-US" w:eastAsia="zh-CN" w:bidi="zh-CN"/>
        </w:rPr>
        <w:t>年0</w:t>
      </w:r>
      <w:r>
        <w:rPr>
          <w:rFonts w:hint="eastAsia" w:cs="宋体"/>
          <w:color w:val="auto"/>
          <w:kern w:val="0"/>
          <w:sz w:val="24"/>
          <w:szCs w:val="28"/>
          <w:highlight w:val="none"/>
          <w:lang w:val="en-US" w:eastAsia="zh-CN" w:bidi="zh-CN"/>
        </w:rPr>
        <w:t>8</w:t>
      </w:r>
      <w:r>
        <w:rPr>
          <w:rFonts w:hint="eastAsia" w:ascii="宋体" w:hAnsi="宋体" w:eastAsia="宋体" w:cs="宋体"/>
          <w:color w:val="auto"/>
          <w:kern w:val="0"/>
          <w:sz w:val="24"/>
          <w:szCs w:val="28"/>
          <w:highlight w:val="none"/>
          <w:lang w:val="en-US" w:eastAsia="zh-CN" w:bidi="zh-CN"/>
        </w:rPr>
        <w:t>月</w:t>
      </w:r>
      <w:r>
        <w:rPr>
          <w:rFonts w:hint="eastAsia" w:cs="宋体"/>
          <w:color w:val="auto"/>
          <w:kern w:val="0"/>
          <w:sz w:val="24"/>
          <w:szCs w:val="28"/>
          <w:highlight w:val="none"/>
          <w:lang w:val="en-US" w:eastAsia="zh-CN" w:bidi="zh-CN"/>
        </w:rPr>
        <w:t>25</w:t>
      </w:r>
      <w:r>
        <w:rPr>
          <w:rFonts w:hint="eastAsia" w:ascii="宋体" w:hAnsi="宋体" w:eastAsia="宋体" w:cs="宋体"/>
          <w:color w:val="auto"/>
          <w:kern w:val="0"/>
          <w:sz w:val="24"/>
          <w:szCs w:val="28"/>
          <w:highlight w:val="none"/>
          <w:lang w:val="en-US" w:eastAsia="zh-CN" w:bidi="zh-CN"/>
        </w:rPr>
        <w:t>日止。</w:t>
      </w:r>
    </w:p>
    <w:p w14:paraId="0CBC295A">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2、获取</w:t>
      </w:r>
      <w:r>
        <w:rPr>
          <w:rFonts w:hint="eastAsia" w:cs="宋体"/>
          <w:color w:val="auto"/>
          <w:kern w:val="0"/>
          <w:sz w:val="24"/>
          <w:szCs w:val="28"/>
          <w:highlight w:val="none"/>
          <w:lang w:val="en-US" w:eastAsia="zh-CN" w:bidi="zh-CN"/>
        </w:rPr>
        <w:t>竞争性谈判</w:t>
      </w:r>
      <w:r>
        <w:rPr>
          <w:rFonts w:hint="eastAsia" w:ascii="宋体" w:hAnsi="宋体" w:eastAsia="宋体" w:cs="宋体"/>
          <w:color w:val="auto"/>
          <w:kern w:val="0"/>
          <w:sz w:val="24"/>
          <w:szCs w:val="28"/>
          <w:highlight w:val="none"/>
          <w:lang w:val="en-US" w:eastAsia="zh-CN" w:bidi="zh-CN"/>
        </w:rPr>
        <w:t>文件方式：</w:t>
      </w:r>
    </w:p>
    <w:p w14:paraId="287CA6AE">
      <w:pPr>
        <w:pStyle w:val="25"/>
        <w:keepNext w:val="0"/>
        <w:keepLines w:val="0"/>
        <w:pageBreakBefore w:val="0"/>
        <w:kinsoku/>
        <w:overflowPunct/>
        <w:bidi w:val="0"/>
        <w:spacing w:line="480" w:lineRule="exact"/>
        <w:ind w:left="0" w:leftChars="0" w:firstLine="480" w:firstLineChars="200"/>
        <w:rPr>
          <w:rFonts w:hint="default"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（1）获取方法：网上获取，凡有意参加投标者，请将获取</w:t>
      </w:r>
      <w:r>
        <w:rPr>
          <w:rFonts w:hint="eastAsia" w:cs="宋体"/>
          <w:color w:val="auto"/>
          <w:kern w:val="0"/>
          <w:sz w:val="24"/>
          <w:szCs w:val="28"/>
          <w:highlight w:val="none"/>
          <w:lang w:val="en-US" w:eastAsia="zh-CN" w:bidi="zh-CN"/>
        </w:rPr>
        <w:t>竞争性谈判</w:t>
      </w:r>
      <w:r>
        <w:rPr>
          <w:rFonts w:hint="eastAsia" w:ascii="宋体" w:hAnsi="宋体" w:eastAsia="宋体" w:cs="宋体"/>
          <w:color w:val="auto"/>
          <w:kern w:val="0"/>
          <w:sz w:val="24"/>
          <w:szCs w:val="28"/>
          <w:highlight w:val="none"/>
          <w:lang w:val="en-US" w:eastAsia="zh-CN" w:bidi="zh-CN"/>
        </w:rPr>
        <w:t>文件资料发送至</w:t>
      </w:r>
      <w:r>
        <w:rPr>
          <w:rFonts w:hint="eastAsia" w:cs="宋体"/>
          <w:color w:val="auto"/>
          <w:kern w:val="0"/>
          <w:sz w:val="24"/>
          <w:szCs w:val="28"/>
          <w:highlight w:val="none"/>
          <w:lang w:val="en-US" w:eastAsia="zh-CN" w:bidi="zh-CN"/>
        </w:rPr>
        <w:t>2088770621</w:t>
      </w:r>
      <w:r>
        <w:rPr>
          <w:rFonts w:hint="eastAsia" w:ascii="宋体" w:hAnsi="宋体" w:eastAsia="宋体" w:cs="宋体"/>
          <w:color w:val="auto"/>
          <w:kern w:val="0"/>
          <w:sz w:val="24"/>
          <w:szCs w:val="28"/>
          <w:highlight w:val="none"/>
          <w:lang w:val="en-US" w:eastAsia="zh-CN" w:bidi="zh-CN"/>
        </w:rPr>
        <w:t>@qq.com邮箱并电话告知招标联系人(注：邮件内请注明:公司名称+项目名称+联系人+联系电话，格式为彩色扫描件（PDF格式）)。联系人电话：</w:t>
      </w:r>
      <w:r>
        <w:rPr>
          <w:rFonts w:hint="eastAsia" w:cs="宋体"/>
          <w:color w:val="auto"/>
          <w:kern w:val="0"/>
          <w:sz w:val="24"/>
          <w:szCs w:val="28"/>
          <w:highlight w:val="none"/>
          <w:lang w:val="en-US" w:eastAsia="zh-CN" w:bidi="zh-CN"/>
        </w:rPr>
        <w:t>17339816763</w:t>
      </w:r>
    </w:p>
    <w:p w14:paraId="39535CDB">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w:t>
      </w:r>
      <w:r>
        <w:rPr>
          <w:rFonts w:hint="eastAsia" w:cs="宋体"/>
          <w:color w:val="auto"/>
          <w:kern w:val="0"/>
          <w:sz w:val="24"/>
          <w:szCs w:val="28"/>
          <w:highlight w:val="none"/>
          <w:lang w:val="en-US" w:eastAsia="zh-CN" w:bidi="zh-CN"/>
        </w:rPr>
        <w:t>2</w:t>
      </w:r>
      <w:r>
        <w:rPr>
          <w:rFonts w:hint="eastAsia" w:ascii="宋体" w:hAnsi="宋体" w:eastAsia="宋体" w:cs="宋体"/>
          <w:color w:val="auto"/>
          <w:kern w:val="0"/>
          <w:sz w:val="24"/>
          <w:szCs w:val="28"/>
          <w:highlight w:val="none"/>
          <w:lang w:val="en-US" w:eastAsia="zh-CN" w:bidi="zh-CN"/>
        </w:rPr>
        <w:t>）获取</w:t>
      </w:r>
      <w:r>
        <w:rPr>
          <w:rFonts w:hint="eastAsia" w:cs="宋体"/>
          <w:color w:val="auto"/>
          <w:kern w:val="0"/>
          <w:sz w:val="24"/>
          <w:szCs w:val="28"/>
          <w:highlight w:val="none"/>
          <w:lang w:val="en-US" w:eastAsia="zh-CN" w:bidi="zh-CN"/>
        </w:rPr>
        <w:t>竞争性谈判</w:t>
      </w:r>
      <w:r>
        <w:rPr>
          <w:rFonts w:hint="eastAsia" w:ascii="宋体" w:hAnsi="宋体" w:eastAsia="宋体" w:cs="宋体"/>
          <w:color w:val="auto"/>
          <w:kern w:val="0"/>
          <w:sz w:val="24"/>
          <w:szCs w:val="28"/>
          <w:highlight w:val="none"/>
          <w:lang w:val="en-US" w:eastAsia="zh-CN" w:bidi="zh-CN"/>
        </w:rPr>
        <w:t>文件需提供的资料：凡有意参加投标者，提供营业执照、法定代表人（负责人）身份证明及法定代表人（负责人）身份证、法定代表人（负责人）授权委托书及授权委托人身份证，上传资料均为原件。提供不全则无法获取招标文件。</w:t>
      </w:r>
    </w:p>
    <w:p w14:paraId="79D2AC08">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3、招标文件费用：免费。</w:t>
      </w:r>
    </w:p>
    <w:p w14:paraId="031EF4DD">
      <w:pPr>
        <w:keepNext w:val="0"/>
        <w:keepLines w:val="0"/>
        <w:pageBreakBefore w:val="0"/>
        <w:tabs>
          <w:tab w:val="left" w:pos="718"/>
        </w:tabs>
        <w:kinsoku/>
        <w:overflowPunct/>
        <w:autoSpaceDE w:val="0"/>
        <w:autoSpaceDN w:val="0"/>
        <w:bidi w:val="0"/>
        <w:spacing w:line="480" w:lineRule="exact"/>
        <w:ind w:firstLine="480" w:firstLineChars="200"/>
        <w:jc w:val="left"/>
        <w:rPr>
          <w:rFonts w:hint="eastAsia" w:ascii="宋体" w:hAnsi="宋体" w:eastAsia="宋体" w:cs="宋体"/>
          <w:b/>
          <w:bCs w:val="0"/>
          <w:color w:val="auto"/>
          <w:kern w:val="0"/>
          <w:sz w:val="24"/>
          <w:highlight w:val="none"/>
          <w:lang w:val="zh-CN" w:eastAsia="zh-CN" w:bidi="zh-CN"/>
        </w:rPr>
      </w:pPr>
      <w:r>
        <w:rPr>
          <w:rFonts w:hint="eastAsia" w:ascii="宋体" w:hAnsi="宋体" w:eastAsia="宋体" w:cs="宋体"/>
          <w:b/>
          <w:bCs w:val="0"/>
          <w:color w:val="auto"/>
          <w:kern w:val="0"/>
          <w:sz w:val="24"/>
          <w:highlight w:val="none"/>
          <w:lang w:val="en-US" w:eastAsia="zh-CN" w:bidi="zh-CN"/>
        </w:rPr>
        <w:t>五、</w:t>
      </w:r>
      <w:r>
        <w:rPr>
          <w:rFonts w:hint="eastAsia" w:ascii="宋体" w:hAnsi="宋体" w:eastAsia="宋体" w:cs="宋体"/>
          <w:b/>
          <w:bCs w:val="0"/>
          <w:color w:val="auto"/>
          <w:kern w:val="0"/>
          <w:sz w:val="24"/>
          <w:highlight w:val="none"/>
          <w:lang w:val="zh-CN" w:eastAsia="zh-CN" w:bidi="zh-CN"/>
        </w:rPr>
        <w:t>投标文件的递交及相关事宜</w:t>
      </w:r>
    </w:p>
    <w:p w14:paraId="4430045E">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yellow"/>
          <w:lang w:val="en-US" w:eastAsia="zh-CN" w:bidi="zh-CN"/>
        </w:rPr>
      </w:pPr>
      <w:r>
        <w:rPr>
          <w:rFonts w:hint="eastAsia" w:ascii="宋体" w:hAnsi="宋体" w:eastAsia="宋体" w:cs="宋体"/>
          <w:color w:val="auto"/>
          <w:kern w:val="0"/>
          <w:sz w:val="24"/>
          <w:szCs w:val="28"/>
          <w:highlight w:val="none"/>
          <w:lang w:val="en-US" w:eastAsia="zh-CN" w:bidi="zh-CN"/>
        </w:rPr>
        <w:t>1、投标文件递交的截止时间为202</w:t>
      </w:r>
      <w:r>
        <w:rPr>
          <w:rFonts w:hint="eastAsia" w:cs="宋体"/>
          <w:color w:val="auto"/>
          <w:kern w:val="0"/>
          <w:sz w:val="24"/>
          <w:szCs w:val="28"/>
          <w:highlight w:val="none"/>
          <w:lang w:val="en-US" w:eastAsia="zh-CN" w:bidi="zh-CN"/>
        </w:rPr>
        <w:t>6</w:t>
      </w:r>
      <w:r>
        <w:rPr>
          <w:rFonts w:hint="eastAsia" w:ascii="宋体" w:hAnsi="宋体" w:eastAsia="宋体" w:cs="宋体"/>
          <w:color w:val="auto"/>
          <w:kern w:val="0"/>
          <w:sz w:val="24"/>
          <w:szCs w:val="28"/>
          <w:highlight w:val="none"/>
          <w:lang w:val="en-US" w:eastAsia="zh-CN" w:bidi="zh-CN"/>
        </w:rPr>
        <w:t>年</w:t>
      </w:r>
      <w:r>
        <w:rPr>
          <w:rFonts w:hint="eastAsia" w:cs="宋体"/>
          <w:color w:val="auto"/>
          <w:kern w:val="0"/>
          <w:sz w:val="24"/>
          <w:szCs w:val="28"/>
          <w:highlight w:val="none"/>
          <w:lang w:val="en-US" w:eastAsia="zh-CN" w:bidi="zh-CN"/>
        </w:rPr>
        <w:t>8</w:t>
      </w:r>
      <w:r>
        <w:rPr>
          <w:rFonts w:hint="eastAsia" w:ascii="宋体" w:hAnsi="宋体" w:eastAsia="宋体" w:cs="宋体"/>
          <w:color w:val="auto"/>
          <w:kern w:val="0"/>
          <w:sz w:val="24"/>
          <w:szCs w:val="28"/>
          <w:highlight w:val="none"/>
          <w:lang w:val="en-US" w:eastAsia="zh-CN" w:bidi="zh-CN"/>
        </w:rPr>
        <w:t>月</w:t>
      </w:r>
      <w:r>
        <w:rPr>
          <w:rFonts w:hint="eastAsia" w:cs="宋体"/>
          <w:color w:val="auto"/>
          <w:kern w:val="0"/>
          <w:sz w:val="24"/>
          <w:szCs w:val="28"/>
          <w:highlight w:val="none"/>
          <w:lang w:val="en-US" w:eastAsia="zh-CN" w:bidi="zh-CN"/>
        </w:rPr>
        <w:t>25</w:t>
      </w:r>
      <w:r>
        <w:rPr>
          <w:rFonts w:hint="eastAsia" w:ascii="宋体" w:hAnsi="宋体" w:eastAsia="宋体" w:cs="宋体"/>
          <w:color w:val="auto"/>
          <w:kern w:val="0"/>
          <w:sz w:val="24"/>
          <w:szCs w:val="28"/>
          <w:highlight w:val="none"/>
          <w:lang w:val="en-US" w:eastAsia="zh-CN" w:bidi="zh-CN"/>
        </w:rPr>
        <w:t>日14时00分，</w:t>
      </w:r>
    </w:p>
    <w:p w14:paraId="684FB275">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2、投标人应于投标截止时间前线上成功递交所有电子投标文件，线下投标应于</w:t>
      </w:r>
      <w:r>
        <w:rPr>
          <w:rFonts w:hint="eastAsia" w:cs="宋体"/>
          <w:color w:val="auto"/>
          <w:kern w:val="0"/>
          <w:sz w:val="24"/>
          <w:szCs w:val="28"/>
          <w:highlight w:val="none"/>
          <w:lang w:val="en-US" w:eastAsia="zh-CN" w:bidi="zh-CN"/>
        </w:rPr>
        <w:t>2026年8月25日</w:t>
      </w:r>
      <w:r>
        <w:rPr>
          <w:rFonts w:hint="eastAsia" w:ascii="宋体" w:hAnsi="宋体" w:eastAsia="宋体" w:cs="宋体"/>
          <w:color w:val="auto"/>
          <w:kern w:val="0"/>
          <w:sz w:val="24"/>
          <w:szCs w:val="28"/>
          <w:highlight w:val="none"/>
          <w:lang w:val="en-US" w:eastAsia="zh-CN" w:bidi="zh-CN"/>
        </w:rPr>
        <w:t>13时30分至14时00分将投标文件（纸质版）递交至兰州兰石集团有限公司动力公司办公楼3楼302开标室。</w:t>
      </w:r>
    </w:p>
    <w:p w14:paraId="1688257D">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3、在投标截止时间未提交投标文件的投标人，招标人将不予受理。</w:t>
      </w:r>
    </w:p>
    <w:p w14:paraId="592D2347">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4、投标人须登录甘肃智慧阳光采购平台进行投标和开标活动，务必在开标前完成注册并获得投标资格，中标情况将在本网公示。</w:t>
      </w:r>
    </w:p>
    <w:p w14:paraId="15C6D68B">
      <w:pPr>
        <w:pStyle w:val="25"/>
        <w:keepNext w:val="0"/>
        <w:keepLines w:val="0"/>
        <w:pageBreakBefore w:val="0"/>
        <w:kinsoku/>
        <w:overflowPunct/>
        <w:bidi w:val="0"/>
        <w:spacing w:line="480" w:lineRule="exact"/>
        <w:ind w:left="0" w:leftChars="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5、网上投标方法：具体步骤请参照网站首页“使用帮助”。</w:t>
      </w:r>
    </w:p>
    <w:p w14:paraId="62C8BB66">
      <w:pPr>
        <w:keepNext w:val="0"/>
        <w:keepLines w:val="0"/>
        <w:pageBreakBefore w:val="0"/>
        <w:tabs>
          <w:tab w:val="left" w:pos="718"/>
        </w:tabs>
        <w:kinsoku/>
        <w:overflowPunct/>
        <w:autoSpaceDE w:val="0"/>
        <w:autoSpaceDN w:val="0"/>
        <w:bidi w:val="0"/>
        <w:spacing w:line="480" w:lineRule="exact"/>
        <w:ind w:firstLine="480" w:firstLineChars="200"/>
        <w:jc w:val="left"/>
        <w:rPr>
          <w:rFonts w:hint="eastAsia" w:ascii="宋体" w:hAnsi="宋体" w:eastAsia="宋体" w:cs="宋体"/>
          <w:b/>
          <w:bCs w:val="0"/>
          <w:color w:val="auto"/>
          <w:kern w:val="0"/>
          <w:sz w:val="24"/>
          <w:highlight w:val="none"/>
          <w:lang w:val="zh-CN" w:eastAsia="zh-CN" w:bidi="zh-CN"/>
        </w:rPr>
      </w:pPr>
      <w:r>
        <w:rPr>
          <w:rFonts w:hint="eastAsia" w:ascii="宋体" w:hAnsi="宋体" w:eastAsia="宋体" w:cs="宋体"/>
          <w:b/>
          <w:bCs w:val="0"/>
          <w:color w:val="auto"/>
          <w:kern w:val="0"/>
          <w:sz w:val="24"/>
          <w:highlight w:val="none"/>
          <w:lang w:val="en-US" w:eastAsia="zh-CN" w:bidi="zh-CN"/>
        </w:rPr>
        <w:t>六、</w:t>
      </w:r>
      <w:r>
        <w:rPr>
          <w:rFonts w:hint="eastAsia" w:ascii="宋体" w:hAnsi="宋体" w:eastAsia="宋体" w:cs="宋体"/>
          <w:b/>
          <w:bCs w:val="0"/>
          <w:color w:val="auto"/>
          <w:kern w:val="0"/>
          <w:sz w:val="24"/>
          <w:highlight w:val="none"/>
          <w:lang w:val="zh-CN" w:eastAsia="zh-CN" w:bidi="zh-CN"/>
        </w:rPr>
        <w:t>发布公告的媒介</w:t>
      </w:r>
    </w:p>
    <w:p w14:paraId="4B38C70F">
      <w:pPr>
        <w:keepNext w:val="0"/>
        <w:keepLines w:val="0"/>
        <w:pageBreakBefore w:val="0"/>
        <w:tabs>
          <w:tab w:val="left" w:pos="1270"/>
        </w:tabs>
        <w:kinsoku/>
        <w:overflowPunct/>
        <w:autoSpaceDE w:val="0"/>
        <w:autoSpaceDN w:val="0"/>
        <w:bidi w:val="0"/>
        <w:spacing w:line="480" w:lineRule="exact"/>
        <w:ind w:firstLine="480" w:firstLineChars="200"/>
        <w:rPr>
          <w:rFonts w:ascii="宋体" w:hAnsi="宋体" w:cs="宋体"/>
          <w:color w:val="auto"/>
          <w:kern w:val="0"/>
          <w:sz w:val="24"/>
          <w:highlight w:val="none"/>
          <w:lang w:bidi="zh-CN"/>
        </w:rPr>
      </w:pPr>
      <w:r>
        <w:rPr>
          <w:rFonts w:hint="eastAsia" w:ascii="宋体" w:hAnsi="宋体" w:cs="宋体"/>
          <w:color w:val="auto"/>
          <w:kern w:val="0"/>
          <w:sz w:val="24"/>
          <w:highlight w:val="none"/>
          <w:lang w:bidi="zh-CN"/>
        </w:rPr>
        <w:t>本次</w:t>
      </w:r>
      <w:r>
        <w:rPr>
          <w:rFonts w:hint="eastAsia" w:cs="宋体"/>
          <w:color w:val="auto"/>
          <w:kern w:val="0"/>
          <w:sz w:val="24"/>
          <w:highlight w:val="none"/>
          <w:lang w:bidi="zh-CN"/>
        </w:rPr>
        <w:t>竞争性谈判</w:t>
      </w:r>
      <w:r>
        <w:rPr>
          <w:rFonts w:hint="eastAsia" w:ascii="宋体" w:hAnsi="宋体" w:cs="宋体"/>
          <w:color w:val="auto"/>
          <w:kern w:val="0"/>
          <w:sz w:val="24"/>
          <w:highlight w:val="none"/>
          <w:lang w:bidi="zh-CN"/>
        </w:rPr>
        <w:t>公告在</w:t>
      </w:r>
      <w:r>
        <w:rPr>
          <w:rFonts w:hint="eastAsia" w:ascii="宋体" w:hAnsi="宋体" w:cs="宋体"/>
          <w:color w:val="auto"/>
          <w:kern w:val="0"/>
          <w:sz w:val="24"/>
          <w:highlight w:val="none"/>
          <w:u w:val="single"/>
          <w:lang w:bidi="zh-CN"/>
        </w:rPr>
        <w:t>《</w:t>
      </w:r>
      <w:r>
        <w:rPr>
          <w:rFonts w:hint="eastAsia" w:ascii="宋体" w:hAnsi="宋体" w:eastAsia="宋体" w:cs="宋体"/>
          <w:color w:val="auto"/>
          <w:kern w:val="0"/>
          <w:sz w:val="24"/>
          <w:highlight w:val="none"/>
          <w:u w:val="single"/>
          <w:lang w:val="en-US" w:eastAsia="zh-CN" w:bidi="zh-CN"/>
        </w:rPr>
        <w:t>甘肃智慧</w:t>
      </w:r>
      <w:r>
        <w:rPr>
          <w:rFonts w:hint="eastAsia" w:hAnsi="宋体" w:cs="宋体"/>
          <w:color w:val="auto"/>
          <w:kern w:val="0"/>
          <w:sz w:val="24"/>
          <w:highlight w:val="none"/>
          <w:u w:val="single"/>
          <w:lang w:val="en-US" w:eastAsia="zh-CN" w:bidi="zh-CN"/>
        </w:rPr>
        <w:t>阳光</w:t>
      </w:r>
      <w:r>
        <w:rPr>
          <w:rFonts w:hint="eastAsia" w:ascii="宋体" w:hAnsi="宋体" w:eastAsia="宋体" w:cs="宋体"/>
          <w:color w:val="auto"/>
          <w:kern w:val="0"/>
          <w:sz w:val="24"/>
          <w:highlight w:val="none"/>
          <w:u w:val="single"/>
          <w:lang w:val="en-US" w:eastAsia="zh-CN" w:bidi="zh-CN"/>
        </w:rPr>
        <w:t>采购平台</w:t>
      </w:r>
      <w:r>
        <w:rPr>
          <w:rFonts w:hint="eastAsia" w:ascii="宋体" w:hAnsi="宋体" w:cs="宋体"/>
          <w:color w:val="auto"/>
          <w:kern w:val="0"/>
          <w:sz w:val="24"/>
          <w:highlight w:val="none"/>
          <w:u w:val="single"/>
          <w:lang w:bidi="zh-CN"/>
        </w:rPr>
        <w:t>》（网址http://ygcg.lansland.com）</w:t>
      </w:r>
      <w:r>
        <w:rPr>
          <w:rFonts w:hint="eastAsia" w:cs="宋体"/>
          <w:color w:val="auto"/>
          <w:kern w:val="0"/>
          <w:sz w:val="24"/>
          <w:highlight w:val="none"/>
          <w:u w:val="single"/>
          <w:lang w:bidi="zh-CN"/>
        </w:rPr>
        <w:t>、</w:t>
      </w:r>
      <w:r>
        <w:rPr>
          <w:rFonts w:hint="eastAsia" w:cs="宋体"/>
          <w:color w:val="auto"/>
          <w:kern w:val="0"/>
          <w:sz w:val="24"/>
          <w:highlight w:val="none"/>
          <w:lang w:val="en-US" w:eastAsia="zh-CN" w:bidi="zh-CN"/>
        </w:rPr>
        <w:t>甘肃经济信息网上同时发布</w:t>
      </w:r>
      <w:r>
        <w:rPr>
          <w:rFonts w:hint="eastAsia" w:ascii="宋体" w:hAnsi="宋体" w:cs="宋体"/>
          <w:color w:val="auto"/>
          <w:kern w:val="0"/>
          <w:sz w:val="24"/>
          <w:highlight w:val="none"/>
          <w:lang w:bidi="zh-CN"/>
        </w:rPr>
        <w:t>。</w:t>
      </w:r>
    </w:p>
    <w:p w14:paraId="16154AF7">
      <w:pPr>
        <w:keepNext w:val="0"/>
        <w:keepLines w:val="0"/>
        <w:pageBreakBefore w:val="0"/>
        <w:tabs>
          <w:tab w:val="left" w:pos="718"/>
        </w:tabs>
        <w:kinsoku/>
        <w:overflowPunct/>
        <w:autoSpaceDE w:val="0"/>
        <w:autoSpaceDN w:val="0"/>
        <w:bidi w:val="0"/>
        <w:spacing w:line="480" w:lineRule="exact"/>
        <w:ind w:firstLine="480" w:firstLineChars="200"/>
        <w:jc w:val="left"/>
        <w:rPr>
          <w:rFonts w:ascii="宋体" w:hAnsi="宋体" w:cs="宋体"/>
          <w:b/>
          <w:bCs w:val="0"/>
          <w:color w:val="auto"/>
          <w:kern w:val="0"/>
          <w:sz w:val="24"/>
          <w:highlight w:val="none"/>
          <w:lang w:bidi="zh-CN"/>
        </w:rPr>
      </w:pPr>
      <w:r>
        <w:rPr>
          <w:rFonts w:hint="eastAsia" w:ascii="宋体" w:hAnsi="宋体" w:cs="宋体"/>
          <w:b/>
          <w:bCs w:val="0"/>
          <w:color w:val="auto"/>
          <w:kern w:val="0"/>
          <w:sz w:val="24"/>
          <w:highlight w:val="none"/>
          <w:lang w:val="en-US" w:bidi="zh-CN"/>
        </w:rPr>
        <w:t>七、</w:t>
      </w:r>
      <w:r>
        <w:rPr>
          <w:rFonts w:hint="eastAsia" w:ascii="宋体" w:hAnsi="宋体" w:cs="宋体"/>
          <w:b/>
          <w:bCs w:val="0"/>
          <w:color w:val="auto"/>
          <w:kern w:val="0"/>
          <w:sz w:val="24"/>
          <w:highlight w:val="none"/>
          <w:lang w:bidi="zh-CN"/>
        </w:rPr>
        <w:t>其他注意事项</w:t>
      </w:r>
    </w:p>
    <w:p w14:paraId="37575734">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kern w:val="0"/>
          <w:sz w:val="24"/>
          <w:highlight w:val="none"/>
          <w:lang w:bidi="zh-CN"/>
        </w:rPr>
      </w:pPr>
      <w:bookmarkStart w:id="45" w:name="_bookmark7"/>
      <w:bookmarkEnd w:id="45"/>
      <w:r>
        <w:rPr>
          <w:rFonts w:hint="eastAsia" w:hAnsi="宋体" w:cs="宋体"/>
          <w:color w:val="auto"/>
          <w:kern w:val="0"/>
          <w:sz w:val="24"/>
          <w:highlight w:val="none"/>
          <w:lang w:val="en-US" w:bidi="zh-CN"/>
        </w:rPr>
        <w:t>1.</w:t>
      </w:r>
      <w:r>
        <w:rPr>
          <w:rFonts w:hint="eastAsia" w:ascii="宋体" w:hAnsi="宋体" w:eastAsia="宋体" w:cs="宋体"/>
          <w:color w:val="auto"/>
          <w:kern w:val="0"/>
          <w:sz w:val="24"/>
          <w:highlight w:val="none"/>
          <w:lang w:bidi="zh-CN"/>
        </w:rPr>
        <w:t>参与</w:t>
      </w:r>
      <w:r>
        <w:rPr>
          <w:rFonts w:hint="eastAsia" w:ascii="宋体" w:hAnsi="宋体" w:eastAsia="宋体" w:cs="宋体"/>
          <w:color w:val="auto"/>
          <w:kern w:val="0"/>
          <w:sz w:val="24"/>
          <w:highlight w:val="none"/>
          <w:lang w:val="en-US" w:bidi="zh-CN"/>
        </w:rPr>
        <w:t>兰石阳光</w:t>
      </w:r>
      <w:r>
        <w:rPr>
          <w:rFonts w:hint="eastAsia" w:ascii="宋体" w:hAnsi="宋体" w:eastAsia="宋体" w:cs="宋体"/>
          <w:color w:val="auto"/>
          <w:kern w:val="0"/>
          <w:sz w:val="24"/>
          <w:highlight w:val="none"/>
          <w:lang w:bidi="zh-CN"/>
        </w:rPr>
        <w:t>采购平台交易活动的投标人（供应商）需先在</w:t>
      </w:r>
      <w:r>
        <w:rPr>
          <w:rFonts w:hint="eastAsia" w:ascii="宋体" w:hAnsi="宋体" w:eastAsia="宋体" w:cs="宋体"/>
          <w:color w:val="auto"/>
          <w:kern w:val="0"/>
          <w:sz w:val="24"/>
          <w:highlight w:val="none"/>
          <w:lang w:val="en-US" w:bidi="zh-CN"/>
        </w:rPr>
        <w:t>兰石阳光</w:t>
      </w:r>
      <w:r>
        <w:rPr>
          <w:rFonts w:hint="eastAsia" w:ascii="宋体" w:hAnsi="宋体" w:eastAsia="宋体" w:cs="宋体"/>
          <w:color w:val="auto"/>
          <w:kern w:val="0"/>
          <w:sz w:val="24"/>
          <w:highlight w:val="none"/>
          <w:lang w:bidi="zh-CN"/>
        </w:rPr>
        <w:t>采购平台进行注册，注册后获取标书、参与投标报价等后续工作</w:t>
      </w:r>
      <w:r>
        <w:rPr>
          <w:rFonts w:hint="eastAsia" w:hAnsi="宋体" w:cs="宋体"/>
          <w:color w:val="auto"/>
          <w:kern w:val="0"/>
          <w:sz w:val="24"/>
          <w:highlight w:val="none"/>
          <w:lang w:bidi="zh-CN"/>
        </w:rPr>
        <w:t>，</w:t>
      </w:r>
      <w:r>
        <w:rPr>
          <w:rFonts w:hint="eastAsia" w:ascii="宋体" w:hAnsi="宋体" w:eastAsia="宋体" w:cs="宋体"/>
          <w:color w:val="auto"/>
          <w:kern w:val="0"/>
          <w:sz w:val="24"/>
          <w:highlight w:val="none"/>
          <w:lang w:val="en-US" w:bidi="zh-CN"/>
        </w:rPr>
        <w:t>兰石阳光</w:t>
      </w:r>
      <w:r>
        <w:rPr>
          <w:rFonts w:hint="eastAsia" w:ascii="宋体" w:hAnsi="宋体" w:eastAsia="宋体" w:cs="宋体"/>
          <w:color w:val="auto"/>
          <w:kern w:val="0"/>
          <w:sz w:val="24"/>
          <w:highlight w:val="none"/>
          <w:lang w:bidi="zh-CN"/>
        </w:rPr>
        <w:t>平台技术支持电话：</w:t>
      </w:r>
      <w:r>
        <w:rPr>
          <w:rFonts w:hint="eastAsia" w:hAnsi="宋体" w:cs="宋体"/>
          <w:color w:val="auto"/>
          <w:kern w:val="0"/>
          <w:sz w:val="24"/>
          <w:highlight w:val="none"/>
          <w:lang w:val="en-US" w:eastAsia="zh-CN" w:bidi="zh-CN"/>
        </w:rPr>
        <w:t>15117156119</w:t>
      </w:r>
      <w:r>
        <w:rPr>
          <w:rFonts w:hint="eastAsia" w:ascii="宋体" w:hAnsi="宋体" w:eastAsia="宋体" w:cs="宋体"/>
          <w:color w:val="auto"/>
          <w:kern w:val="0"/>
          <w:sz w:val="24"/>
          <w:highlight w:val="none"/>
          <w:lang w:bidi="zh-CN"/>
        </w:rPr>
        <w:t>。</w:t>
      </w:r>
    </w:p>
    <w:p w14:paraId="7DA1EA56">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kern w:val="0"/>
          <w:sz w:val="24"/>
          <w:highlight w:val="none"/>
          <w:lang w:val="en-US" w:eastAsia="zh-CN" w:bidi="zh-CN"/>
        </w:rPr>
      </w:pPr>
      <w:r>
        <w:rPr>
          <w:rFonts w:hint="eastAsia" w:hAnsi="宋体" w:cs="宋体"/>
          <w:color w:val="auto"/>
          <w:kern w:val="0"/>
          <w:sz w:val="24"/>
          <w:highlight w:val="none"/>
          <w:lang w:val="en-US" w:eastAsia="zh-CN" w:bidi="zh-CN"/>
        </w:rPr>
        <w:t>2.</w:t>
      </w:r>
      <w:r>
        <w:rPr>
          <w:rFonts w:hint="eastAsia" w:ascii="宋体" w:hAnsi="宋体" w:eastAsia="宋体" w:cs="宋体"/>
          <w:color w:val="auto"/>
          <w:kern w:val="0"/>
          <w:sz w:val="24"/>
          <w:highlight w:val="none"/>
          <w:lang w:val="en-US" w:eastAsia="zh-CN" w:bidi="zh-CN"/>
        </w:rPr>
        <w:t>投标人须登录甘肃智慧</w:t>
      </w:r>
      <w:r>
        <w:rPr>
          <w:rFonts w:hint="eastAsia" w:hAnsi="宋体" w:cs="宋体"/>
          <w:color w:val="auto"/>
          <w:kern w:val="0"/>
          <w:sz w:val="24"/>
          <w:highlight w:val="none"/>
          <w:lang w:val="en-US" w:eastAsia="zh-CN" w:bidi="zh-CN"/>
        </w:rPr>
        <w:t>阳光</w:t>
      </w:r>
      <w:r>
        <w:rPr>
          <w:rFonts w:hint="eastAsia" w:ascii="宋体" w:hAnsi="宋体" w:eastAsia="宋体" w:cs="宋体"/>
          <w:color w:val="auto"/>
          <w:kern w:val="0"/>
          <w:sz w:val="24"/>
          <w:highlight w:val="none"/>
          <w:lang w:val="en-US" w:eastAsia="zh-CN" w:bidi="zh-CN"/>
        </w:rPr>
        <w:t>采购平台</w:t>
      </w:r>
      <w:r>
        <w:rPr>
          <w:rFonts w:hint="default" w:ascii="宋体" w:hAnsi="宋体" w:eastAsia="宋体" w:cs="宋体"/>
          <w:color w:val="auto"/>
          <w:kern w:val="0"/>
          <w:sz w:val="24"/>
          <w:highlight w:val="none"/>
          <w:lang w:val="en-US" w:eastAsia="zh-CN" w:bidi="zh-CN"/>
        </w:rPr>
        <w:t>-</w:t>
      </w:r>
      <w:r>
        <w:rPr>
          <w:rFonts w:hint="eastAsia" w:ascii="宋体" w:hAnsi="宋体" w:eastAsia="宋体" w:cs="宋体"/>
          <w:color w:val="auto"/>
          <w:kern w:val="0"/>
          <w:sz w:val="24"/>
          <w:highlight w:val="none"/>
          <w:lang w:val="en-US" w:eastAsia="zh-CN" w:bidi="zh-CN"/>
        </w:rPr>
        <w:t>兰石分平台进行投标和开标活动，务必在开标前完成注册并获得投标资格，投标文件加盖公章并扫面上传。</w:t>
      </w:r>
    </w:p>
    <w:p w14:paraId="4011075E">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kern w:val="0"/>
          <w:sz w:val="24"/>
          <w:highlight w:val="none"/>
          <w:lang w:val="en-US" w:eastAsia="zh-CN" w:bidi="zh-CN"/>
        </w:rPr>
      </w:pPr>
      <w:r>
        <w:rPr>
          <w:rFonts w:hint="eastAsia" w:hAnsi="宋体" w:cs="宋体"/>
          <w:color w:val="auto"/>
          <w:kern w:val="0"/>
          <w:sz w:val="24"/>
          <w:highlight w:val="none"/>
          <w:lang w:val="en-US" w:eastAsia="zh-CN" w:bidi="zh-CN"/>
        </w:rPr>
        <w:t>3.</w:t>
      </w:r>
      <w:r>
        <w:rPr>
          <w:rFonts w:hint="eastAsia" w:ascii="宋体" w:hAnsi="宋体" w:eastAsia="宋体" w:cs="宋体"/>
          <w:color w:val="auto"/>
          <w:kern w:val="0"/>
          <w:sz w:val="24"/>
          <w:highlight w:val="none"/>
          <w:lang w:val="en-US" w:eastAsia="zh-CN" w:bidi="zh-CN"/>
        </w:rPr>
        <w:t>现场开标：投标人须提供投标文件正本1份，副本</w:t>
      </w:r>
      <w:r>
        <w:rPr>
          <w:rFonts w:hint="eastAsia" w:hAnsi="宋体" w:cs="宋体"/>
          <w:color w:val="auto"/>
          <w:kern w:val="0"/>
          <w:sz w:val="24"/>
          <w:highlight w:val="none"/>
          <w:lang w:val="en-US" w:eastAsia="zh-CN" w:bidi="zh-CN"/>
        </w:rPr>
        <w:t>2</w:t>
      </w:r>
      <w:r>
        <w:rPr>
          <w:rFonts w:hint="eastAsia" w:ascii="宋体" w:hAnsi="宋体" w:eastAsia="宋体" w:cs="宋体"/>
          <w:color w:val="auto"/>
          <w:kern w:val="0"/>
          <w:sz w:val="24"/>
          <w:highlight w:val="none"/>
          <w:lang w:val="en-US" w:eastAsia="zh-CN" w:bidi="zh-CN"/>
        </w:rPr>
        <w:t>份，电子版1份。电子版文件：电子版U 盘</w:t>
      </w:r>
      <w:r>
        <w:rPr>
          <w:rFonts w:hint="eastAsia" w:hAnsi="宋体" w:cs="宋体"/>
          <w:color w:val="auto"/>
          <w:kern w:val="0"/>
          <w:sz w:val="24"/>
          <w:highlight w:val="none"/>
          <w:lang w:val="en-US" w:eastAsia="zh-CN" w:bidi="zh-CN"/>
        </w:rPr>
        <w:t>1</w:t>
      </w:r>
      <w:r>
        <w:rPr>
          <w:rFonts w:hint="eastAsia" w:ascii="宋体" w:hAnsi="宋体" w:eastAsia="宋体" w:cs="宋体"/>
          <w:color w:val="auto"/>
          <w:kern w:val="0"/>
          <w:sz w:val="24"/>
          <w:highlight w:val="none"/>
          <w:lang w:val="en-US" w:eastAsia="zh-CN" w:bidi="zh-CN"/>
        </w:rPr>
        <w:t>份，U盘中投标文件必须为加盖了投标人电子签章的PDF 格式并且在PDF阅读软件下可正常查看。</w:t>
      </w:r>
    </w:p>
    <w:p w14:paraId="737485C3">
      <w:pPr>
        <w:pStyle w:val="3"/>
        <w:numPr>
          <w:ilvl w:val="0"/>
          <w:numId w:val="0"/>
        </w:numPr>
        <w:tabs>
          <w:tab w:val="left" w:pos="1021"/>
          <w:tab w:val="clear" w:pos="0"/>
        </w:tabs>
        <w:bidi w:val="0"/>
        <w:ind w:firstLine="480" w:firstLineChars="200"/>
        <w:rPr>
          <w:rFonts w:hint="eastAsia" w:ascii="宋体" w:hAnsi="宋体" w:eastAsia="宋体" w:cs="宋体"/>
          <w:b/>
          <w:bCs w:val="0"/>
          <w:color w:val="auto"/>
          <w:kern w:val="0"/>
          <w:sz w:val="24"/>
          <w:szCs w:val="24"/>
          <w:highlight w:val="none"/>
          <w:lang w:val="en-US" w:eastAsia="zh-CN" w:bidi="zh-CN"/>
        </w:rPr>
      </w:pPr>
      <w:r>
        <w:rPr>
          <w:rFonts w:hint="eastAsia" w:ascii="宋体" w:hAnsi="宋体" w:eastAsia="宋体" w:cs="宋体"/>
          <w:b/>
          <w:bCs w:val="0"/>
          <w:color w:val="auto"/>
          <w:kern w:val="0"/>
          <w:sz w:val="24"/>
          <w:szCs w:val="24"/>
          <w:highlight w:val="none"/>
          <w:lang w:val="en-US" w:eastAsia="zh-CN" w:bidi="zh-CN"/>
        </w:rPr>
        <w:t>八.确认</w:t>
      </w:r>
    </w:p>
    <w:p w14:paraId="050526B4">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76" w:firstLineChars="200"/>
        <w:textAlignment w:val="auto"/>
        <w:rPr>
          <w:rFonts w:hint="default" w:ascii="宋体" w:hAnsi="宋体" w:eastAsia="宋体" w:cs="宋体"/>
          <w:color w:val="auto"/>
          <w:kern w:val="0"/>
          <w:sz w:val="24"/>
          <w:highlight w:val="none"/>
          <w:lang w:val="en-US" w:eastAsia="zh-CN" w:bidi="zh-CN"/>
        </w:rPr>
      </w:pPr>
      <w:r>
        <w:rPr>
          <w:rFonts w:hint="eastAsia"/>
          <w:spacing w:val="-1"/>
          <w:sz w:val="24"/>
          <w:szCs w:val="24"/>
          <w:highlight w:val="none"/>
        </w:rPr>
        <w:t>请于2026年</w:t>
      </w:r>
      <w:r>
        <w:rPr>
          <w:rFonts w:hint="eastAsia"/>
          <w:spacing w:val="-1"/>
          <w:sz w:val="24"/>
          <w:szCs w:val="24"/>
          <w:highlight w:val="none"/>
          <w:lang w:val="en-US" w:eastAsia="zh-CN"/>
        </w:rPr>
        <w:t>8</w:t>
      </w:r>
      <w:r>
        <w:rPr>
          <w:rFonts w:hint="eastAsia"/>
          <w:spacing w:val="-1"/>
          <w:sz w:val="24"/>
          <w:szCs w:val="24"/>
          <w:highlight w:val="none"/>
        </w:rPr>
        <w:t>月</w:t>
      </w:r>
      <w:r>
        <w:rPr>
          <w:rFonts w:hint="eastAsia"/>
          <w:spacing w:val="-1"/>
          <w:sz w:val="24"/>
          <w:szCs w:val="24"/>
          <w:highlight w:val="none"/>
          <w:lang w:val="en-US" w:eastAsia="zh-CN"/>
        </w:rPr>
        <w:t>24</w:t>
      </w:r>
      <w:r>
        <w:rPr>
          <w:rFonts w:hint="eastAsia"/>
          <w:spacing w:val="-1"/>
          <w:sz w:val="24"/>
          <w:szCs w:val="24"/>
          <w:highlight w:val="none"/>
        </w:rPr>
        <w:t>日17:00时</w:t>
      </w:r>
      <w:r>
        <w:rPr>
          <w:rFonts w:hint="eastAsia"/>
          <w:spacing w:val="-1"/>
          <w:sz w:val="24"/>
          <w:szCs w:val="24"/>
        </w:rPr>
        <w:t>前，以书面形式确认是否参加本项目采购活动。在本邀请书规定的时间内未表示是否参加或明确表示不参加的，不得再参加本项目采购活动。</w:t>
      </w:r>
    </w:p>
    <w:p w14:paraId="6EC1C64D">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b/>
          <w:bCs/>
          <w:color w:val="auto"/>
          <w:kern w:val="0"/>
          <w:sz w:val="24"/>
          <w:highlight w:val="none"/>
          <w:lang w:bidi="zh-CN"/>
        </w:rPr>
      </w:pPr>
      <w:r>
        <w:rPr>
          <w:rFonts w:hint="eastAsia" w:ascii="宋体" w:hAnsi="宋体" w:eastAsia="宋体" w:cs="宋体"/>
          <w:b/>
          <w:bCs/>
          <w:color w:val="auto"/>
          <w:kern w:val="0"/>
          <w:sz w:val="24"/>
          <w:highlight w:val="none"/>
          <w:lang w:val="en-US" w:bidi="zh-CN"/>
        </w:rPr>
        <w:t>九、</w:t>
      </w:r>
      <w:r>
        <w:rPr>
          <w:rFonts w:hint="eastAsia" w:ascii="宋体" w:hAnsi="宋体" w:eastAsia="宋体" w:cs="宋体"/>
          <w:b/>
          <w:bCs/>
          <w:color w:val="auto"/>
          <w:kern w:val="0"/>
          <w:sz w:val="24"/>
          <w:highlight w:val="none"/>
          <w:lang w:bidi="zh-CN"/>
        </w:rPr>
        <w:t>联系方式</w:t>
      </w:r>
    </w:p>
    <w:p w14:paraId="436D4286">
      <w:pPr>
        <w:pStyle w:val="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kern w:val="0"/>
          <w:sz w:val="24"/>
          <w:highlight w:val="none"/>
          <w:lang w:val="en-US" w:eastAsia="zh-CN" w:bidi="zh-CN"/>
        </w:rPr>
      </w:pPr>
      <w:r>
        <w:rPr>
          <w:rFonts w:hint="eastAsia" w:ascii="宋体" w:hAnsi="宋体" w:eastAsia="宋体" w:cs="宋体"/>
          <w:color w:val="auto"/>
          <w:kern w:val="0"/>
          <w:sz w:val="24"/>
          <w:highlight w:val="none"/>
          <w:lang w:val="en-US" w:eastAsia="zh-CN" w:bidi="zh-CN"/>
        </w:rPr>
        <w:t>招标人：兰州兰石集团有限公司</w:t>
      </w:r>
      <w:r>
        <w:rPr>
          <w:rFonts w:hint="eastAsia" w:ascii="宋体" w:hAnsi="宋体" w:cs="宋体"/>
          <w:color w:val="auto"/>
          <w:kern w:val="0"/>
          <w:sz w:val="24"/>
          <w:highlight w:val="none"/>
          <w:lang w:val="en-US" w:eastAsia="zh-CN" w:bidi="zh-CN"/>
        </w:rPr>
        <w:t>动力公司</w:t>
      </w:r>
    </w:p>
    <w:p w14:paraId="76F9C23E">
      <w:pPr>
        <w:numPr>
          <w:ilvl w:val="0"/>
          <w:numId w:val="0"/>
        </w:numPr>
        <w:ind w:firstLine="480" w:firstLineChars="200"/>
        <w:rPr>
          <w:rFonts w:hint="eastAsia" w:cs="宋体"/>
          <w:lang w:val="en-US" w:eastAsia="zh-CN"/>
        </w:rPr>
      </w:pPr>
      <w:r>
        <w:rPr>
          <w:rFonts w:hint="eastAsia" w:cs="宋体"/>
          <w:lang w:val="en-US" w:eastAsia="zh-CN"/>
        </w:rPr>
        <w:t>报名联系人：赵工     0931-2907072      17339816763</w:t>
      </w:r>
    </w:p>
    <w:p w14:paraId="12E3F3F7">
      <w:pPr>
        <w:spacing w:line="360" w:lineRule="auto"/>
        <w:ind w:firstLine="480" w:firstLineChars="200"/>
        <w:rPr>
          <w:rFonts w:hint="eastAsia" w:ascii="宋体" w:hAnsi="宋体" w:eastAsia="宋体" w:cs="宋体"/>
          <w:lang w:val="en-US" w:eastAsia="zh-CN"/>
        </w:rPr>
      </w:pPr>
      <w:r>
        <w:rPr>
          <w:rFonts w:hint="eastAsia" w:cs="宋体"/>
          <w:lang w:val="en-US" w:eastAsia="zh-CN"/>
        </w:rPr>
        <w:t xml:space="preserve">技术联系人：李工     </w:t>
      </w:r>
      <w:r>
        <w:rPr>
          <w:rFonts w:hint="eastAsia" w:ascii="宋体" w:hAnsi="宋体" w:eastAsia="宋体" w:cs="宋体"/>
          <w:lang w:val="en-US" w:eastAsia="zh-CN"/>
        </w:rPr>
        <w:t>0931-2907069      15117156119</w:t>
      </w:r>
    </w:p>
    <w:p w14:paraId="39EAF860">
      <w:pPr>
        <w:spacing w:line="360" w:lineRule="auto"/>
        <w:ind w:firstLine="1920" w:firstLineChars="800"/>
        <w:rPr>
          <w:rFonts w:hint="eastAsia" w:ascii="宋体" w:hAnsi="宋体" w:eastAsia="宋体" w:cs="宋体"/>
          <w:color w:val="auto"/>
          <w:kern w:val="0"/>
          <w:sz w:val="24"/>
          <w:highlight w:val="none"/>
          <w:lang w:val="en-US" w:eastAsia="zh-CN" w:bidi="zh-CN"/>
        </w:rPr>
      </w:pPr>
      <w:r>
        <w:rPr>
          <w:rFonts w:hint="eastAsia" w:ascii="宋体" w:hAnsi="宋体" w:eastAsia="宋体" w:cs="宋体"/>
          <w:lang w:val="en-US" w:eastAsia="zh-CN"/>
        </w:rPr>
        <w:t>李主任    13919255205</w:t>
      </w:r>
      <w:r>
        <w:rPr>
          <w:rFonts w:hint="eastAsia" w:ascii="宋体" w:hAnsi="宋体" w:eastAsia="宋体" w:cs="宋体"/>
          <w:color w:val="auto"/>
          <w:kern w:val="0"/>
          <w:sz w:val="24"/>
          <w:highlight w:val="none"/>
          <w:lang w:val="en-US" w:eastAsia="zh-CN" w:bidi="zh-CN"/>
        </w:rPr>
        <w:t xml:space="preserve"> </w:t>
      </w:r>
    </w:p>
    <w:p w14:paraId="0447B6DF">
      <w:pPr>
        <w:pStyle w:val="2"/>
        <w:numPr>
          <w:ilvl w:val="0"/>
          <w:numId w:val="0"/>
        </w:numPr>
        <w:ind w:leftChars="0"/>
        <w:jc w:val="center"/>
        <w:rPr>
          <w:rFonts w:hint="eastAsia"/>
          <w:b/>
          <w:bCs/>
          <w:sz w:val="44"/>
          <w:szCs w:val="44"/>
          <w:lang w:val="en-US" w:eastAsia="zh-CN"/>
        </w:rPr>
      </w:pPr>
      <w:bookmarkStart w:id="46" w:name="_Toc12778"/>
      <w:bookmarkStart w:id="47" w:name="_Toc19923"/>
    </w:p>
    <w:p w14:paraId="6341CBD6">
      <w:pPr>
        <w:pStyle w:val="2"/>
        <w:numPr>
          <w:ilvl w:val="0"/>
          <w:numId w:val="0"/>
        </w:numPr>
        <w:ind w:leftChars="0"/>
        <w:jc w:val="center"/>
        <w:rPr>
          <w:rFonts w:hint="eastAsia"/>
          <w:b/>
          <w:bCs/>
          <w:sz w:val="44"/>
          <w:szCs w:val="44"/>
          <w:lang w:val="en-US" w:eastAsia="zh-CN"/>
        </w:rPr>
      </w:pPr>
    </w:p>
    <w:p w14:paraId="2F0D36E1">
      <w:pPr>
        <w:pStyle w:val="2"/>
        <w:numPr>
          <w:ilvl w:val="0"/>
          <w:numId w:val="0"/>
        </w:numPr>
        <w:ind w:leftChars="0"/>
        <w:jc w:val="center"/>
        <w:rPr>
          <w:rFonts w:hint="eastAsia"/>
          <w:b/>
          <w:bCs/>
          <w:sz w:val="44"/>
          <w:szCs w:val="44"/>
          <w:lang w:val="en-US" w:eastAsia="zh-CN"/>
        </w:rPr>
      </w:pPr>
    </w:p>
    <w:p w14:paraId="663A3B3E">
      <w:pPr>
        <w:pStyle w:val="2"/>
        <w:numPr>
          <w:ilvl w:val="0"/>
          <w:numId w:val="0"/>
        </w:numPr>
        <w:ind w:leftChars="0"/>
        <w:jc w:val="center"/>
        <w:rPr>
          <w:rFonts w:hint="eastAsia"/>
          <w:b/>
          <w:bCs/>
          <w:sz w:val="44"/>
          <w:szCs w:val="44"/>
          <w:lang w:val="en-US" w:eastAsia="zh-CN"/>
        </w:rPr>
      </w:pPr>
    </w:p>
    <w:p w14:paraId="3AA42C8B">
      <w:pPr>
        <w:pStyle w:val="2"/>
        <w:numPr>
          <w:ilvl w:val="0"/>
          <w:numId w:val="0"/>
        </w:numPr>
        <w:ind w:leftChars="0"/>
        <w:jc w:val="center"/>
        <w:rPr>
          <w:rFonts w:hint="eastAsia"/>
          <w:b/>
          <w:bCs/>
          <w:sz w:val="44"/>
          <w:szCs w:val="44"/>
          <w:lang w:val="en-US" w:eastAsia="zh-CN"/>
        </w:rPr>
      </w:pPr>
    </w:p>
    <w:p w14:paraId="72446F69">
      <w:pPr>
        <w:pStyle w:val="2"/>
        <w:numPr>
          <w:ilvl w:val="0"/>
          <w:numId w:val="0"/>
        </w:numPr>
        <w:ind w:leftChars="0"/>
        <w:jc w:val="both"/>
        <w:rPr>
          <w:rFonts w:hint="eastAsia"/>
          <w:b/>
          <w:bCs/>
          <w:sz w:val="44"/>
          <w:szCs w:val="44"/>
          <w:lang w:val="en-US" w:eastAsia="zh-CN"/>
        </w:rPr>
      </w:pPr>
    </w:p>
    <w:p w14:paraId="6F8FA545">
      <w:pPr>
        <w:rPr>
          <w:rFonts w:hint="eastAsia"/>
          <w:b/>
          <w:bCs/>
          <w:sz w:val="44"/>
          <w:szCs w:val="44"/>
          <w:lang w:val="en-US" w:eastAsia="zh-CN"/>
        </w:rPr>
      </w:pPr>
    </w:p>
    <w:p w14:paraId="3F01670E">
      <w:pPr>
        <w:rPr>
          <w:rFonts w:hint="eastAsia"/>
          <w:b/>
          <w:bCs/>
          <w:sz w:val="44"/>
          <w:szCs w:val="44"/>
          <w:lang w:val="en-US" w:eastAsia="zh-CN"/>
        </w:rPr>
      </w:pPr>
    </w:p>
    <w:p w14:paraId="1A17EA44">
      <w:pPr>
        <w:pStyle w:val="2"/>
        <w:numPr>
          <w:ilvl w:val="0"/>
          <w:numId w:val="0"/>
        </w:numPr>
        <w:ind w:leftChars="0"/>
        <w:jc w:val="center"/>
        <w:rPr>
          <w:rFonts w:hint="eastAsia"/>
          <w:b/>
          <w:bCs/>
          <w:sz w:val="44"/>
          <w:szCs w:val="44"/>
          <w:lang w:val="en-US" w:eastAsia="zh-CN"/>
        </w:rPr>
      </w:pPr>
    </w:p>
    <w:p w14:paraId="743D074D">
      <w:pPr>
        <w:pStyle w:val="2"/>
        <w:numPr>
          <w:ilvl w:val="0"/>
          <w:numId w:val="0"/>
        </w:numPr>
        <w:ind w:leftChars="0"/>
        <w:jc w:val="center"/>
        <w:rPr>
          <w:rFonts w:hint="eastAsia"/>
          <w:b/>
          <w:bCs/>
          <w:sz w:val="44"/>
          <w:szCs w:val="44"/>
        </w:rPr>
      </w:pPr>
      <w:bookmarkStart w:id="48" w:name="_Toc12918"/>
      <w:r>
        <w:rPr>
          <w:rFonts w:hint="eastAsia"/>
          <w:b/>
          <w:bCs/>
          <w:sz w:val="44"/>
          <w:szCs w:val="44"/>
          <w:lang w:val="en-US" w:eastAsia="zh-CN"/>
        </w:rPr>
        <w:t xml:space="preserve">第二章  </w:t>
      </w:r>
      <w:r>
        <w:rPr>
          <w:rFonts w:hint="eastAsia"/>
          <w:b/>
          <w:bCs/>
          <w:sz w:val="44"/>
          <w:szCs w:val="44"/>
        </w:rPr>
        <w:t>投标须知前附表</w:t>
      </w:r>
      <w:bookmarkEnd w:id="11"/>
      <w:bookmarkEnd w:id="46"/>
      <w:bookmarkEnd w:id="47"/>
      <w:bookmarkEnd w:id="48"/>
    </w:p>
    <w:p w14:paraId="253F61C2">
      <w:pPr>
        <w:jc w:val="center"/>
        <w:rPr>
          <w:rFonts w:hint="eastAsia"/>
        </w:rPr>
      </w:pPr>
      <w:r>
        <w:rPr>
          <w:rFonts w:hint="eastAsia"/>
        </w:rPr>
        <w:t>下述表中内容是对</w:t>
      </w:r>
      <w:r>
        <w:rPr>
          <w:rFonts w:hint="eastAsia"/>
          <w:lang w:eastAsia="zh-CN"/>
        </w:rPr>
        <w:t>竞争性谈判</w:t>
      </w:r>
      <w:r>
        <w:rPr>
          <w:rFonts w:hint="eastAsia"/>
        </w:rPr>
        <w:t>文件的具体补充和修改，如果有矛盾的话，应以本附表为准。</w:t>
      </w:r>
    </w:p>
    <w:p w14:paraId="3F762FE8">
      <w:pPr>
        <w:jc w:val="center"/>
        <w:rPr>
          <w:rFonts w:hint="eastAsia"/>
        </w:rPr>
      </w:pPr>
    </w:p>
    <w:tbl>
      <w:tblPr>
        <w:tblStyle w:val="33"/>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724"/>
        <w:gridCol w:w="7150"/>
      </w:tblGrid>
      <w:tr w14:paraId="32CA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47" w:type="dxa"/>
            <w:vAlign w:val="center"/>
          </w:tcPr>
          <w:p w14:paraId="3920D076">
            <w:pPr>
              <w:spacing w:line="360" w:lineRule="exact"/>
              <w:ind w:right="-161"/>
              <w:rPr>
                <w:rFonts w:hint="eastAsia"/>
              </w:rPr>
            </w:pPr>
            <w:bookmarkStart w:id="49" w:name="二．报价方须知"/>
            <w:bookmarkEnd w:id="49"/>
            <w:r>
              <w:rPr>
                <w:rFonts w:hint="eastAsia"/>
              </w:rPr>
              <w:t>序号</w:t>
            </w:r>
          </w:p>
        </w:tc>
        <w:tc>
          <w:tcPr>
            <w:tcW w:w="1724" w:type="dxa"/>
            <w:vAlign w:val="center"/>
          </w:tcPr>
          <w:p w14:paraId="628A745C">
            <w:pPr>
              <w:spacing w:line="360" w:lineRule="exact"/>
              <w:ind w:right="-161"/>
              <w:jc w:val="center"/>
              <w:rPr>
                <w:rFonts w:hint="eastAsia"/>
              </w:rPr>
            </w:pPr>
            <w:r>
              <w:rPr>
                <w:rFonts w:hint="eastAsia"/>
              </w:rPr>
              <w:t>项目</w:t>
            </w:r>
          </w:p>
        </w:tc>
        <w:tc>
          <w:tcPr>
            <w:tcW w:w="7150" w:type="dxa"/>
            <w:vAlign w:val="center"/>
          </w:tcPr>
          <w:p w14:paraId="4DC660D7">
            <w:pPr>
              <w:spacing w:line="360" w:lineRule="exact"/>
              <w:ind w:right="-161"/>
              <w:jc w:val="center"/>
              <w:rPr>
                <w:rFonts w:hint="eastAsia"/>
              </w:rPr>
            </w:pPr>
            <w:r>
              <w:rPr>
                <w:rFonts w:hint="eastAsia"/>
              </w:rPr>
              <w:t>内容</w:t>
            </w:r>
          </w:p>
        </w:tc>
      </w:tr>
      <w:tr w14:paraId="0017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47" w:type="dxa"/>
            <w:vAlign w:val="center"/>
          </w:tcPr>
          <w:p w14:paraId="6FC6AF73">
            <w:pPr>
              <w:pStyle w:val="73"/>
              <w:numPr>
                <w:ilvl w:val="0"/>
                <w:numId w:val="0"/>
              </w:numPr>
              <w:ind w:left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724" w:type="dxa"/>
            <w:vAlign w:val="center"/>
          </w:tcPr>
          <w:p w14:paraId="0E5FC102">
            <w:pPr>
              <w:jc w:val="center"/>
              <w:rPr>
                <w:rFonts w:hint="eastAsia"/>
              </w:rPr>
            </w:pPr>
            <w:r>
              <w:rPr>
                <w:rFonts w:hint="eastAsia"/>
              </w:rPr>
              <w:t>招标人</w:t>
            </w:r>
          </w:p>
        </w:tc>
        <w:tc>
          <w:tcPr>
            <w:tcW w:w="7150" w:type="dxa"/>
            <w:vAlign w:val="center"/>
          </w:tcPr>
          <w:p w14:paraId="5DE1629C">
            <w:pPr>
              <w:rPr>
                <w:rFonts w:hint="eastAsia"/>
              </w:rPr>
            </w:pPr>
            <w:r>
              <w:rPr>
                <w:rFonts w:hint="eastAsia"/>
              </w:rPr>
              <w:t>兰州兰石集团有限公司（动力公司）</w:t>
            </w:r>
          </w:p>
        </w:tc>
      </w:tr>
      <w:tr w14:paraId="5B99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700FED27">
            <w:pPr>
              <w:pStyle w:val="73"/>
              <w:numPr>
                <w:ilvl w:val="0"/>
                <w:numId w:val="0"/>
              </w:numPr>
              <w:ind w:leftChars="0"/>
              <w:jc w:val="center"/>
              <w:rPr>
                <w:rFonts w:hint="default" w:ascii="宋体" w:hAnsi="宋体" w:eastAsia="宋体" w:cs="宋体"/>
                <w:sz w:val="24"/>
                <w:szCs w:val="24"/>
                <w:lang w:val="en-US" w:eastAsia="zh-CN"/>
              </w:rPr>
            </w:pPr>
            <w:bookmarkStart w:id="50" w:name="_Hlk88219769"/>
            <w:r>
              <w:rPr>
                <w:rFonts w:hint="eastAsia" w:ascii="宋体" w:hAnsi="宋体" w:cs="宋体"/>
                <w:sz w:val="24"/>
                <w:szCs w:val="24"/>
                <w:lang w:val="en-US" w:eastAsia="zh-CN"/>
              </w:rPr>
              <w:t>2</w:t>
            </w:r>
          </w:p>
        </w:tc>
        <w:tc>
          <w:tcPr>
            <w:tcW w:w="1724" w:type="dxa"/>
            <w:vAlign w:val="center"/>
          </w:tcPr>
          <w:p w14:paraId="7C24B192">
            <w:pPr>
              <w:jc w:val="center"/>
              <w:rPr>
                <w:rFonts w:hint="eastAsia"/>
              </w:rPr>
            </w:pPr>
            <w:r>
              <w:rPr>
                <w:rFonts w:hint="eastAsia"/>
              </w:rPr>
              <w:t>项目名称</w:t>
            </w:r>
          </w:p>
        </w:tc>
        <w:tc>
          <w:tcPr>
            <w:tcW w:w="7150" w:type="dxa"/>
            <w:vAlign w:val="center"/>
          </w:tcPr>
          <w:p w14:paraId="4411307C">
            <w:pPr>
              <w:ind w:left="1999" w:hanging="1999" w:hangingChars="833"/>
              <w:rPr>
                <w:rFonts w:hint="eastAsia"/>
              </w:rPr>
            </w:pPr>
            <w:r>
              <w:rPr>
                <w:rFonts w:hint="eastAsia" w:ascii="宋体" w:hAnsi="宋体" w:eastAsia="宋体" w:cs="宋体"/>
                <w:lang w:val="en-US" w:eastAsia="zh-CN"/>
              </w:rPr>
              <w:t>兰州兰石集团有限公司动力公司混合气站采购项目</w:t>
            </w:r>
          </w:p>
        </w:tc>
      </w:tr>
      <w:bookmarkEnd w:id="50"/>
      <w:tr w14:paraId="09E6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03513986">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1724" w:type="dxa"/>
            <w:vAlign w:val="center"/>
          </w:tcPr>
          <w:p w14:paraId="6944FA32">
            <w:pPr>
              <w:jc w:val="center"/>
              <w:rPr>
                <w:rFonts w:hint="eastAsia"/>
              </w:rPr>
            </w:pPr>
            <w:r>
              <w:rPr>
                <w:rFonts w:hint="eastAsia"/>
              </w:rPr>
              <w:t>资金来源</w:t>
            </w:r>
          </w:p>
        </w:tc>
        <w:tc>
          <w:tcPr>
            <w:tcW w:w="7150" w:type="dxa"/>
            <w:vAlign w:val="center"/>
          </w:tcPr>
          <w:p w14:paraId="36C38546">
            <w:pPr>
              <w:ind w:left="1999" w:hanging="1999" w:hangingChars="833"/>
              <w:rPr>
                <w:rFonts w:hint="eastAsia"/>
              </w:rPr>
            </w:pPr>
            <w:r>
              <w:rPr>
                <w:rFonts w:hint="eastAsia"/>
              </w:rPr>
              <w:t>自有资金</w:t>
            </w:r>
          </w:p>
        </w:tc>
      </w:tr>
      <w:tr w14:paraId="2B1D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06217744">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1724" w:type="dxa"/>
            <w:vAlign w:val="center"/>
          </w:tcPr>
          <w:p w14:paraId="16E85A7A">
            <w:pPr>
              <w:jc w:val="center"/>
              <w:rPr>
                <w:rFonts w:hint="eastAsia"/>
              </w:rPr>
            </w:pPr>
            <w:r>
              <w:rPr>
                <w:rFonts w:hint="eastAsia"/>
              </w:rPr>
              <w:t>出资比例</w:t>
            </w:r>
          </w:p>
        </w:tc>
        <w:tc>
          <w:tcPr>
            <w:tcW w:w="7150" w:type="dxa"/>
            <w:vAlign w:val="center"/>
          </w:tcPr>
          <w:p w14:paraId="4BE5108F">
            <w:pPr>
              <w:ind w:left="823" w:hanging="823" w:hangingChars="343"/>
              <w:rPr>
                <w:rFonts w:hint="eastAsia"/>
              </w:rPr>
            </w:pPr>
            <w:r>
              <w:rPr>
                <w:rFonts w:hint="eastAsia"/>
              </w:rPr>
              <w:t>自有资金：</w:t>
            </w:r>
            <w:r>
              <w:rPr>
                <w:rFonts w:hint="eastAsia"/>
                <w:u w:val="single"/>
              </w:rPr>
              <w:t>100</w:t>
            </w:r>
            <w:r>
              <w:rPr>
                <w:rFonts w:hint="eastAsia"/>
              </w:rPr>
              <w:t>％</w:t>
            </w:r>
          </w:p>
        </w:tc>
      </w:tr>
      <w:tr w14:paraId="3FB4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699D3EBC">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c>
          <w:tcPr>
            <w:tcW w:w="1724" w:type="dxa"/>
            <w:vAlign w:val="center"/>
          </w:tcPr>
          <w:p w14:paraId="3A072411">
            <w:pPr>
              <w:jc w:val="center"/>
              <w:rPr>
                <w:rFonts w:hint="eastAsia"/>
              </w:rPr>
            </w:pPr>
            <w:r>
              <w:rPr>
                <w:rFonts w:hint="eastAsia"/>
              </w:rPr>
              <w:t>资金落实</w:t>
            </w:r>
          </w:p>
          <w:p w14:paraId="3B64F268">
            <w:pPr>
              <w:jc w:val="center"/>
              <w:rPr>
                <w:rFonts w:hint="eastAsia"/>
              </w:rPr>
            </w:pPr>
            <w:r>
              <w:rPr>
                <w:rFonts w:hint="eastAsia"/>
              </w:rPr>
              <w:t>情况</w:t>
            </w:r>
          </w:p>
        </w:tc>
        <w:tc>
          <w:tcPr>
            <w:tcW w:w="7150" w:type="dxa"/>
            <w:vAlign w:val="center"/>
          </w:tcPr>
          <w:p w14:paraId="2981B0C5">
            <w:pPr>
              <w:rPr>
                <w:rFonts w:hint="eastAsia"/>
              </w:rPr>
            </w:pPr>
            <w:r>
              <w:rPr>
                <w:rFonts w:hint="eastAsia"/>
              </w:rPr>
              <w:t>已落实</w:t>
            </w:r>
          </w:p>
        </w:tc>
      </w:tr>
      <w:tr w14:paraId="0483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7" w:type="dxa"/>
            <w:vAlign w:val="center"/>
          </w:tcPr>
          <w:p w14:paraId="2EE4C441">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w:t>
            </w:r>
          </w:p>
        </w:tc>
        <w:tc>
          <w:tcPr>
            <w:tcW w:w="1724" w:type="dxa"/>
            <w:vAlign w:val="center"/>
          </w:tcPr>
          <w:p w14:paraId="39968611">
            <w:pPr>
              <w:jc w:val="center"/>
              <w:rPr>
                <w:rFonts w:hint="eastAsia"/>
              </w:rPr>
            </w:pPr>
            <w:r>
              <w:rPr>
                <w:rFonts w:hint="eastAsia"/>
              </w:rPr>
              <w:t>项目概况</w:t>
            </w:r>
          </w:p>
        </w:tc>
        <w:tc>
          <w:tcPr>
            <w:tcW w:w="7150" w:type="dxa"/>
            <w:vAlign w:val="center"/>
          </w:tcPr>
          <w:p w14:paraId="00A97109">
            <w:pPr>
              <w:tabs>
                <w:tab w:val="left" w:pos="4662"/>
              </w:tabs>
              <w:spacing w:line="360" w:lineRule="exact"/>
              <w:rPr>
                <w:rFonts w:hint="eastAsia"/>
              </w:rPr>
            </w:pPr>
            <w:r>
              <w:rPr>
                <w:rFonts w:hint="eastAsia"/>
                <w:lang w:val="en-US" w:eastAsia="zh-CN"/>
              </w:rPr>
              <w:t>采购30m³液氩储罐及二氧化碳（二氧化碳储罐利旧）和氩气混合装置，管道改造、设备（含附属设备）的运输、卸货、安装、连接、系统调试、性能测试、气体配比验证、操作培训、售后服务等内容。</w:t>
            </w:r>
            <w:r>
              <w:rPr>
                <w:rFonts w:hint="eastAsia" w:cs="宋体"/>
                <w:b/>
                <w:bCs/>
                <w:color w:val="auto"/>
                <w:kern w:val="0"/>
                <w:sz w:val="24"/>
                <w:szCs w:val="28"/>
                <w:highlight w:val="none"/>
                <w:lang w:val="en-US" w:eastAsia="zh-CN" w:bidi="zh-CN"/>
              </w:rPr>
              <w:t>特别说明</w:t>
            </w:r>
            <w:r>
              <w:rPr>
                <w:rFonts w:hint="eastAsia" w:cs="宋体"/>
                <w:color w:val="auto"/>
                <w:kern w:val="0"/>
                <w:sz w:val="24"/>
                <w:szCs w:val="28"/>
                <w:highlight w:val="none"/>
                <w:lang w:val="en-US" w:eastAsia="zh-CN" w:bidi="zh-CN"/>
              </w:rPr>
              <w:t>：1.</w:t>
            </w:r>
            <w:r>
              <w:rPr>
                <w:rFonts w:hint="eastAsia" w:ascii="宋体" w:hAnsi="宋体" w:eastAsia="宋体" w:cs="宋体"/>
                <w:color w:val="auto"/>
                <w:kern w:val="0"/>
                <w:sz w:val="24"/>
                <w:szCs w:val="28"/>
                <w:highlight w:val="none"/>
                <w:lang w:val="en-US" w:eastAsia="zh-CN" w:bidi="zh-CN"/>
              </w:rPr>
              <w:t>所供设备须为取得相应特种设备生产许可的单位制造，出厂时随附安全技术规范要求的设计文件、产品质量合格证明、安装及使用维护保养说明、监督检验证明等相关技术资料和文件</w:t>
            </w:r>
            <w:r>
              <w:rPr>
                <w:rFonts w:hint="eastAsia" w:cs="宋体"/>
                <w:color w:val="auto"/>
                <w:kern w:val="0"/>
                <w:sz w:val="24"/>
                <w:szCs w:val="28"/>
                <w:highlight w:val="none"/>
                <w:lang w:val="en-US" w:eastAsia="zh-CN" w:bidi="zh-CN"/>
              </w:rPr>
              <w:t>。2.</w:t>
            </w:r>
            <w:r>
              <w:rPr>
                <w:rFonts w:hint="eastAsia" w:ascii="宋体" w:hAnsi="宋体" w:eastAsia="宋体" w:cs="宋体"/>
                <w:color w:val="auto"/>
                <w:kern w:val="0"/>
                <w:sz w:val="24"/>
                <w:szCs w:val="28"/>
                <w:highlight w:val="none"/>
                <w:lang w:val="en-US" w:eastAsia="zh-CN" w:bidi="zh-CN"/>
              </w:rPr>
              <w:t>对利旧的二氧化碳储罐与新建液氩储罐至混合装置之间的连接管道进行改造，包括管道系统的安装、焊接、无损检测、压力试验等全部工作。管道改造须符合</w:t>
            </w:r>
            <w:r>
              <w:rPr>
                <w:rFonts w:ascii="Segoe UI" w:hAnsi="Segoe UI" w:eastAsia="Segoe UI" w:cs="Segoe UI"/>
                <w:b/>
                <w:bCs/>
                <w:i w:val="0"/>
                <w:iCs w:val="0"/>
                <w:caps w:val="0"/>
                <w:color w:val="0F1115"/>
                <w:spacing w:val="0"/>
                <w:sz w:val="24"/>
                <w:szCs w:val="24"/>
                <w:shd w:val="clear" w:fill="FFFFFF"/>
              </w:rPr>
              <w:t>《工业管道安全技术规程》（TSG 31-2025）</w:t>
            </w:r>
            <w:r>
              <w:rPr>
                <w:rFonts w:hint="eastAsia" w:ascii="宋体" w:hAnsi="宋体" w:eastAsia="宋体" w:cs="宋体"/>
                <w:color w:val="auto"/>
                <w:kern w:val="0"/>
                <w:sz w:val="24"/>
                <w:szCs w:val="28"/>
                <w:highlight w:val="none"/>
                <w:lang w:val="en-US" w:eastAsia="zh-CN" w:bidi="zh-CN"/>
              </w:rPr>
              <w:t>的相关要求。</w:t>
            </w:r>
            <w:r>
              <w:rPr>
                <w:rFonts w:hint="eastAsia" w:cs="宋体"/>
                <w:color w:val="auto"/>
                <w:kern w:val="0"/>
                <w:sz w:val="24"/>
                <w:szCs w:val="28"/>
                <w:highlight w:val="none"/>
                <w:lang w:val="en-US" w:eastAsia="zh-CN" w:bidi="zh-CN"/>
              </w:rPr>
              <w:t>3.</w:t>
            </w:r>
            <w:r>
              <w:rPr>
                <w:rFonts w:hint="eastAsia" w:ascii="宋体" w:hAnsi="宋体" w:eastAsia="宋体" w:cs="宋体"/>
                <w:color w:val="auto"/>
                <w:kern w:val="0"/>
                <w:sz w:val="24"/>
                <w:szCs w:val="28"/>
                <w:highlight w:val="none"/>
                <w:lang w:val="en-US" w:eastAsia="zh-CN" w:bidi="zh-CN"/>
              </w:rPr>
              <w:t>负责液氩储罐、混合装置及配套管道的现场安装就位、设备间连接、与原有系统的对接，以及安全附件（安全阀、压力表、液位计等）和仪表的安装调试。安装工作须由取得相应特种设备安装许可的单位进行。</w:t>
            </w:r>
            <w:r>
              <w:rPr>
                <w:rFonts w:hint="eastAsia" w:cs="宋体"/>
                <w:color w:val="auto"/>
                <w:kern w:val="0"/>
                <w:sz w:val="24"/>
                <w:szCs w:val="28"/>
                <w:highlight w:val="none"/>
                <w:lang w:val="en-US" w:eastAsia="zh-CN" w:bidi="zh-CN"/>
              </w:rPr>
              <w:t>4.办理</w:t>
            </w:r>
            <w:r>
              <w:rPr>
                <w:rFonts w:hint="eastAsia" w:ascii="宋体" w:hAnsi="宋体" w:eastAsia="宋体" w:cs="宋体"/>
                <w:color w:val="auto"/>
                <w:kern w:val="0"/>
                <w:sz w:val="24"/>
                <w:szCs w:val="28"/>
                <w:highlight w:val="none"/>
                <w:lang w:val="en-US" w:eastAsia="zh-CN" w:bidi="zh-CN"/>
              </w:rPr>
              <w:t>施工告知</w:t>
            </w:r>
            <w:r>
              <w:rPr>
                <w:rFonts w:hint="eastAsia" w:cs="宋体"/>
                <w:color w:val="auto"/>
                <w:kern w:val="0"/>
                <w:sz w:val="24"/>
                <w:szCs w:val="28"/>
                <w:highlight w:val="none"/>
                <w:lang w:val="en-US" w:eastAsia="zh-CN" w:bidi="zh-CN"/>
              </w:rPr>
              <w:t>，</w:t>
            </w:r>
            <w:r>
              <w:rPr>
                <w:rFonts w:hint="eastAsia" w:ascii="宋体" w:hAnsi="宋体" w:eastAsia="宋体" w:cs="宋体"/>
                <w:color w:val="auto"/>
                <w:kern w:val="0"/>
                <w:sz w:val="24"/>
                <w:szCs w:val="28"/>
                <w:highlight w:val="none"/>
                <w:lang w:val="en-US" w:eastAsia="zh-CN" w:bidi="zh-CN"/>
              </w:rPr>
              <w:t>中标人作为特种设备安装、改造、修理的施工单位，应在施工前将拟进行的特种设备安装、改造、修理情况书面告知</w:t>
            </w:r>
            <w:r>
              <w:rPr>
                <w:rFonts w:hint="eastAsia" w:cs="宋体"/>
                <w:color w:val="auto"/>
                <w:kern w:val="0"/>
                <w:sz w:val="24"/>
                <w:szCs w:val="28"/>
                <w:highlight w:val="none"/>
                <w:lang w:val="en-US" w:eastAsia="zh-CN" w:bidi="zh-CN"/>
              </w:rPr>
              <w:t>兰州新区商务和市场监管局</w:t>
            </w:r>
            <w:r>
              <w:rPr>
                <w:rFonts w:hint="eastAsia" w:ascii="宋体" w:hAnsi="宋体" w:eastAsia="宋体" w:cs="宋体"/>
                <w:color w:val="auto"/>
                <w:kern w:val="0"/>
                <w:sz w:val="24"/>
                <w:szCs w:val="28"/>
                <w:highlight w:val="none"/>
                <w:lang w:val="en-US" w:eastAsia="zh-CN" w:bidi="zh-CN"/>
              </w:rPr>
              <w:t>。</w:t>
            </w:r>
            <w:r>
              <w:rPr>
                <w:rFonts w:hint="eastAsia" w:cs="宋体"/>
                <w:color w:val="auto"/>
                <w:kern w:val="0"/>
                <w:sz w:val="24"/>
                <w:szCs w:val="28"/>
                <w:highlight w:val="none"/>
                <w:lang w:val="en-US" w:eastAsia="zh-CN" w:bidi="zh-CN"/>
              </w:rPr>
              <w:t>5.</w:t>
            </w:r>
            <w:r>
              <w:rPr>
                <w:rFonts w:hint="eastAsia" w:ascii="宋体" w:hAnsi="宋体" w:eastAsia="宋体" w:cs="宋体"/>
                <w:color w:val="auto"/>
                <w:kern w:val="0"/>
                <w:sz w:val="24"/>
                <w:szCs w:val="28"/>
                <w:highlight w:val="none"/>
                <w:lang w:val="en-US" w:eastAsia="zh-CN" w:bidi="zh-CN"/>
              </w:rPr>
              <w:t>本次压力容器安装、改造及压力管道安装过程，应当经特种设备检验机构按照安全技术规范的要求进行监督检验；未经监督检验或者监督检验不合格的，不得交付使用。中标人应配合监督检验工作，包括检验前准备工作、检验检测部位的打磨、无损检测配合等。监督检验在安装、改造单位自检合格的基础上进行</w:t>
            </w:r>
            <w:r>
              <w:rPr>
                <w:rFonts w:hint="eastAsia" w:cs="宋体"/>
                <w:color w:val="auto"/>
                <w:kern w:val="0"/>
                <w:sz w:val="24"/>
                <w:szCs w:val="28"/>
                <w:highlight w:val="none"/>
                <w:lang w:val="en-US" w:eastAsia="zh-CN" w:bidi="zh-CN"/>
              </w:rPr>
              <w:t>。6.</w:t>
            </w:r>
            <w:r>
              <w:rPr>
                <w:rFonts w:hint="eastAsia" w:ascii="宋体" w:hAnsi="宋体" w:eastAsia="宋体" w:cs="宋体"/>
                <w:color w:val="auto"/>
                <w:kern w:val="0"/>
                <w:sz w:val="24"/>
                <w:szCs w:val="28"/>
                <w:highlight w:val="none"/>
                <w:lang w:val="en-US" w:eastAsia="zh-CN" w:bidi="zh-CN"/>
              </w:rPr>
              <w:t>完成设备安装及管道连接后，进行整体系统的调试运行，包括系统气密性试验、压力试验、安全附件校验等</w:t>
            </w:r>
            <w:r>
              <w:rPr>
                <w:rFonts w:hint="eastAsia" w:cs="宋体"/>
                <w:color w:val="auto"/>
                <w:kern w:val="0"/>
                <w:sz w:val="24"/>
                <w:szCs w:val="28"/>
                <w:highlight w:val="none"/>
                <w:lang w:val="en-US" w:eastAsia="zh-CN" w:bidi="zh-CN"/>
              </w:rPr>
              <w:t>。7.</w:t>
            </w:r>
            <w:r>
              <w:rPr>
                <w:rFonts w:hint="eastAsia" w:ascii="宋体" w:hAnsi="宋体" w:eastAsia="宋体" w:cs="宋体"/>
                <w:color w:val="auto"/>
                <w:kern w:val="0"/>
                <w:sz w:val="24"/>
                <w:szCs w:val="28"/>
                <w:highlight w:val="none"/>
                <w:lang w:val="en-US" w:eastAsia="zh-CN" w:bidi="zh-CN"/>
              </w:rPr>
              <w:t>对氩气与二氧化碳的混合配比进行验证，确保混合气体配比精度满足工艺要求。</w:t>
            </w:r>
            <w:r>
              <w:rPr>
                <w:rFonts w:hint="eastAsia" w:cs="宋体"/>
                <w:color w:val="auto"/>
                <w:kern w:val="0"/>
                <w:sz w:val="24"/>
                <w:szCs w:val="28"/>
                <w:highlight w:val="none"/>
                <w:lang w:val="en-US" w:eastAsia="zh-CN" w:bidi="zh-CN"/>
              </w:rPr>
              <w:t>8.</w:t>
            </w:r>
            <w:r>
              <w:rPr>
                <w:rFonts w:hint="eastAsia" w:ascii="宋体" w:hAnsi="宋体" w:eastAsia="宋体" w:cs="宋体"/>
                <w:color w:val="auto"/>
                <w:kern w:val="0"/>
                <w:sz w:val="24"/>
                <w:szCs w:val="28"/>
                <w:highlight w:val="none"/>
                <w:lang w:val="en-US" w:eastAsia="zh-CN" w:bidi="zh-CN"/>
              </w:rPr>
              <w:t>对招标人操作及维护人员进行设备操作、日常维护、安全注意事项及应急处置等方面的培训。</w:t>
            </w:r>
            <w:r>
              <w:rPr>
                <w:rFonts w:hint="eastAsia" w:cs="宋体"/>
                <w:color w:val="auto"/>
                <w:kern w:val="0"/>
                <w:sz w:val="24"/>
                <w:szCs w:val="28"/>
                <w:highlight w:val="none"/>
                <w:lang w:val="en-US" w:eastAsia="zh-CN" w:bidi="zh-CN"/>
              </w:rPr>
              <w:t>9.</w:t>
            </w:r>
            <w:r>
              <w:rPr>
                <w:rFonts w:hint="eastAsia" w:ascii="宋体" w:hAnsi="宋体" w:eastAsia="宋体" w:cs="宋体"/>
                <w:color w:val="auto"/>
                <w:kern w:val="0"/>
                <w:sz w:val="24"/>
                <w:szCs w:val="28"/>
                <w:highlight w:val="none"/>
                <w:lang w:val="en-US" w:eastAsia="zh-CN" w:bidi="zh-CN"/>
              </w:rPr>
              <w:t>竣工资料移交</w:t>
            </w:r>
            <w:r>
              <w:rPr>
                <w:rFonts w:hint="eastAsia" w:cs="宋体"/>
                <w:color w:val="auto"/>
                <w:kern w:val="0"/>
                <w:sz w:val="24"/>
                <w:szCs w:val="28"/>
                <w:highlight w:val="none"/>
                <w:lang w:val="en-US" w:eastAsia="zh-CN" w:bidi="zh-CN"/>
              </w:rPr>
              <w:t>，</w:t>
            </w:r>
            <w:r>
              <w:rPr>
                <w:rFonts w:hint="eastAsia" w:ascii="宋体" w:hAnsi="宋体" w:eastAsia="宋体" w:cs="宋体"/>
                <w:color w:val="auto"/>
                <w:kern w:val="0"/>
                <w:sz w:val="24"/>
                <w:szCs w:val="28"/>
                <w:highlight w:val="none"/>
                <w:lang w:val="en-US" w:eastAsia="zh-CN" w:bidi="zh-CN"/>
              </w:rPr>
              <w:t>特种设备安装、改造、修理竣工后，中标人应将特种设备的设计文件、产品质量合格证明、安装及使用维护保养说明、监督检验证明等特种设备安全技术档案所需的资料和文件</w:t>
            </w:r>
            <w:r>
              <w:rPr>
                <w:rFonts w:hint="eastAsia" w:cs="宋体"/>
                <w:color w:val="auto"/>
                <w:kern w:val="0"/>
                <w:sz w:val="24"/>
                <w:szCs w:val="28"/>
                <w:highlight w:val="none"/>
                <w:lang w:val="en-US" w:eastAsia="zh-CN" w:bidi="zh-CN"/>
              </w:rPr>
              <w:t>纸质版和电子版一并移交招标人。</w:t>
            </w:r>
          </w:p>
        </w:tc>
      </w:tr>
      <w:tr w14:paraId="698C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56EA7204">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1724" w:type="dxa"/>
            <w:vAlign w:val="center"/>
          </w:tcPr>
          <w:p w14:paraId="1C8F54CD">
            <w:pPr>
              <w:jc w:val="center"/>
              <w:rPr>
                <w:rFonts w:hint="eastAsia"/>
              </w:rPr>
            </w:pPr>
            <w:r>
              <w:rPr>
                <w:rFonts w:hint="eastAsia"/>
              </w:rPr>
              <w:t>服务期限</w:t>
            </w:r>
          </w:p>
        </w:tc>
        <w:tc>
          <w:tcPr>
            <w:tcW w:w="7150" w:type="dxa"/>
            <w:vAlign w:val="center"/>
          </w:tcPr>
          <w:p w14:paraId="0A233536">
            <w:pPr>
              <w:rPr>
                <w:rFonts w:hint="eastAsia"/>
              </w:rPr>
            </w:pPr>
            <w:r>
              <w:rPr>
                <w:rFonts w:hint="eastAsia"/>
                <w:lang w:eastAsia="en-US"/>
              </w:rPr>
              <w:t>202</w:t>
            </w:r>
            <w:r>
              <w:rPr>
                <w:rFonts w:hint="eastAsia"/>
                <w:lang w:val="en-US" w:eastAsia="zh-CN"/>
              </w:rPr>
              <w:t>6</w:t>
            </w:r>
            <w:r>
              <w:rPr>
                <w:rFonts w:hint="eastAsia"/>
                <w:lang w:eastAsia="en-US"/>
              </w:rPr>
              <w:t>年</w:t>
            </w:r>
            <w:r>
              <w:rPr>
                <w:rFonts w:hint="eastAsia"/>
                <w:lang w:val="en-US" w:eastAsia="zh-CN"/>
              </w:rPr>
              <w:t>8</w:t>
            </w:r>
            <w:r>
              <w:rPr>
                <w:rFonts w:hint="eastAsia"/>
                <w:lang w:eastAsia="en-US"/>
              </w:rPr>
              <w:t>月-202</w:t>
            </w:r>
            <w:r>
              <w:rPr>
                <w:rFonts w:hint="eastAsia"/>
                <w:lang w:val="en-US" w:eastAsia="zh-CN"/>
              </w:rPr>
              <w:t>6</w:t>
            </w:r>
            <w:r>
              <w:rPr>
                <w:rFonts w:hint="eastAsia"/>
                <w:lang w:eastAsia="en-US"/>
              </w:rPr>
              <w:t>年</w:t>
            </w:r>
            <w:r>
              <w:rPr>
                <w:rFonts w:hint="eastAsia"/>
                <w:lang w:val="en-US" w:eastAsia="zh-CN"/>
              </w:rPr>
              <w:t>11</w:t>
            </w:r>
            <w:r>
              <w:rPr>
                <w:rFonts w:hint="eastAsia"/>
                <w:lang w:eastAsia="en-US"/>
              </w:rPr>
              <w:t>月</w:t>
            </w:r>
          </w:p>
        </w:tc>
      </w:tr>
      <w:tr w14:paraId="63C4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4C4ADBBC">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8</w:t>
            </w:r>
          </w:p>
        </w:tc>
        <w:tc>
          <w:tcPr>
            <w:tcW w:w="1724" w:type="dxa"/>
            <w:vAlign w:val="center"/>
          </w:tcPr>
          <w:p w14:paraId="5915F2D6">
            <w:pPr>
              <w:jc w:val="center"/>
              <w:rPr>
                <w:rFonts w:hint="eastAsia"/>
              </w:rPr>
            </w:pPr>
            <w:r>
              <w:rPr>
                <w:rFonts w:hint="eastAsia"/>
              </w:rPr>
              <w:t>招标方式</w:t>
            </w:r>
          </w:p>
        </w:tc>
        <w:tc>
          <w:tcPr>
            <w:tcW w:w="7150" w:type="dxa"/>
            <w:vAlign w:val="center"/>
          </w:tcPr>
          <w:p w14:paraId="7DBC09AF">
            <w:pPr>
              <w:rPr>
                <w:rFonts w:hint="eastAsia" w:eastAsia="宋体"/>
                <w:lang w:eastAsia="zh-CN"/>
              </w:rPr>
            </w:pPr>
            <w:r>
              <w:rPr>
                <w:rFonts w:hint="eastAsia"/>
                <w:lang w:eastAsia="zh-CN"/>
              </w:rPr>
              <w:t>公开竞争性谈判</w:t>
            </w:r>
          </w:p>
        </w:tc>
      </w:tr>
      <w:tr w14:paraId="77E4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1C95BB7E">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9</w:t>
            </w:r>
          </w:p>
        </w:tc>
        <w:tc>
          <w:tcPr>
            <w:tcW w:w="1724" w:type="dxa"/>
            <w:vAlign w:val="center"/>
          </w:tcPr>
          <w:p w14:paraId="41939919">
            <w:pPr>
              <w:numPr>
                <w:ilvl w:val="0"/>
                <w:numId w:val="0"/>
              </w:numPr>
              <w:jc w:val="center"/>
              <w:rPr>
                <w:rFonts w:hint="eastAsia" w:ascii="宋体" w:hAnsi="宋体" w:eastAsia="宋体" w:cs="宋体"/>
              </w:rPr>
            </w:pPr>
            <w:r>
              <w:rPr>
                <w:rFonts w:hint="eastAsia" w:ascii="宋体" w:hAnsi="宋体" w:eastAsia="宋体" w:cs="宋体"/>
              </w:rPr>
              <w:t>投标人资格要求</w:t>
            </w:r>
          </w:p>
        </w:tc>
        <w:tc>
          <w:tcPr>
            <w:tcW w:w="7150" w:type="dxa"/>
            <w:vAlign w:val="center"/>
          </w:tcPr>
          <w:p w14:paraId="479972C7">
            <w:pPr>
              <w:numPr>
                <w:ilvl w:val="0"/>
                <w:numId w:val="0"/>
              </w:numPr>
              <w:rPr>
                <w:rFonts w:hint="eastAsia" w:ascii="宋体" w:hAnsi="宋体" w:eastAsia="宋体" w:cs="宋体"/>
              </w:rPr>
            </w:pPr>
            <w:bookmarkStart w:id="51" w:name="_Hlk26449615"/>
            <w:r>
              <w:rPr>
                <w:rFonts w:hint="eastAsia" w:cs="宋体"/>
                <w:lang w:val="en-US" w:eastAsia="zh-CN"/>
              </w:rPr>
              <w:t>1.</w:t>
            </w:r>
            <w:r>
              <w:rPr>
                <w:rFonts w:hint="eastAsia" w:ascii="宋体" w:hAnsi="宋体" w:eastAsia="宋体" w:cs="宋体"/>
              </w:rPr>
              <w:t>投标人须是在中华人民共和国境内注册的法人企业或其他组织。</w:t>
            </w:r>
            <w:bookmarkEnd w:id="51"/>
          </w:p>
          <w:p w14:paraId="6A9136F6">
            <w:pPr>
              <w:numPr>
                <w:ilvl w:val="0"/>
                <w:numId w:val="0"/>
              </w:numPr>
              <w:rPr>
                <w:rFonts w:hint="eastAsia" w:cs="宋体"/>
                <w:lang w:val="en-US" w:eastAsia="zh-CN"/>
              </w:rPr>
            </w:pPr>
            <w:r>
              <w:rPr>
                <w:rFonts w:hint="eastAsia" w:cs="宋体"/>
                <w:lang w:val="en-US" w:eastAsia="zh-CN"/>
              </w:rPr>
              <w:t>2.供应商商业信誉良好，未被列入“信用中国”网站失信被执行人名单。（网页截图加盖公章）。</w:t>
            </w:r>
          </w:p>
          <w:p w14:paraId="40BE32DD">
            <w:pPr>
              <w:numPr>
                <w:ilvl w:val="0"/>
                <w:numId w:val="0"/>
              </w:numPr>
              <w:rPr>
                <w:rFonts w:hint="eastAsia" w:ascii="宋体" w:hAnsi="宋体" w:eastAsia="宋体" w:cs="宋体"/>
              </w:rPr>
            </w:pPr>
            <w:r>
              <w:rPr>
                <w:rFonts w:hint="eastAsia" w:cs="宋体"/>
                <w:lang w:val="en-US" w:eastAsia="zh-CN"/>
              </w:rPr>
              <w:t>3.投标人须提供2024年或2025年度经会计师事务所或审计机构出具的审计报告（复印件加盖公章）或提供银行出具的资信证明（新成立的公司提供）。</w:t>
            </w:r>
          </w:p>
          <w:p w14:paraId="7980E43D">
            <w:pPr>
              <w:numPr>
                <w:ilvl w:val="0"/>
                <w:numId w:val="0"/>
              </w:numPr>
              <w:rPr>
                <w:rFonts w:hint="eastAsia" w:ascii="宋体" w:hAnsi="宋体" w:eastAsia="宋体" w:cs="宋体"/>
              </w:rPr>
            </w:pPr>
            <w:r>
              <w:rPr>
                <w:rFonts w:hint="eastAsia" w:cs="宋体"/>
                <w:lang w:val="en-US" w:eastAsia="zh-CN"/>
              </w:rPr>
              <w:t>4.</w:t>
            </w:r>
            <w:r>
              <w:rPr>
                <w:rFonts w:hint="eastAsia" w:ascii="宋体" w:hAnsi="宋体" w:eastAsia="宋体" w:cs="宋体"/>
                <w:lang w:val="en-US" w:eastAsia="zh-CN"/>
              </w:rPr>
              <w:t>投标人</w:t>
            </w:r>
            <w:r>
              <w:rPr>
                <w:rFonts w:hint="eastAsia" w:ascii="宋体" w:hAnsi="宋体" w:eastAsia="宋体" w:cs="宋体"/>
              </w:rPr>
              <w:t>营业执照的经营范围必须明确涵盖本次招标项目所属业务领域。</w:t>
            </w:r>
          </w:p>
          <w:p w14:paraId="282EED07">
            <w:pPr>
              <w:numPr>
                <w:ilvl w:val="0"/>
                <w:numId w:val="0"/>
              </w:numPr>
              <w:rPr>
                <w:rFonts w:hint="eastAsia" w:ascii="宋体" w:hAnsi="宋体" w:eastAsia="宋体" w:cs="宋体"/>
              </w:rPr>
            </w:pPr>
            <w:r>
              <w:rPr>
                <w:rFonts w:hint="eastAsia" w:cs="宋体"/>
                <w:lang w:val="en-US" w:eastAsia="zh-CN"/>
              </w:rPr>
              <w:t>5.</w:t>
            </w:r>
            <w:r>
              <w:rPr>
                <w:rFonts w:hint="eastAsia" w:ascii="宋体" w:hAnsi="宋体" w:eastAsia="宋体" w:cs="宋体"/>
              </w:rPr>
              <w:t>投标人须具备有效的</w:t>
            </w:r>
            <w:r>
              <w:rPr>
                <w:rFonts w:hint="eastAsia" w:ascii="宋体" w:hAnsi="宋体" w:eastAsia="宋体" w:cs="宋体"/>
                <w:lang w:eastAsia="zh-CN"/>
              </w:rPr>
              <w:t>《</w:t>
            </w:r>
            <w:r>
              <w:rPr>
                <w:rFonts w:hint="eastAsia" w:ascii="宋体" w:hAnsi="宋体" w:eastAsia="宋体" w:cs="宋体"/>
              </w:rPr>
              <w:t>特种设备生产许可证》 （</w:t>
            </w:r>
            <w:r>
              <w:rPr>
                <w:rFonts w:hint="eastAsia" w:ascii="宋体" w:hAnsi="宋体" w:eastAsia="宋体" w:cs="宋体"/>
                <w:lang w:val="en-US" w:eastAsia="zh-CN"/>
              </w:rPr>
              <w:t>压力容器</w:t>
            </w:r>
            <w:r>
              <w:rPr>
                <w:rFonts w:hint="eastAsia" w:cs="宋体"/>
                <w:lang w:val="en-US" w:eastAsia="zh-CN"/>
              </w:rPr>
              <w:t>、压力管道</w:t>
            </w:r>
            <w:r>
              <w:rPr>
                <w:rFonts w:hint="eastAsia" w:ascii="宋体" w:hAnsi="宋体" w:eastAsia="宋体" w:cs="宋体"/>
              </w:rPr>
              <w:t>）</w:t>
            </w:r>
            <w:r>
              <w:rPr>
                <w:rFonts w:hint="eastAsia" w:cs="宋体"/>
                <w:lang w:val="en-US" w:eastAsia="zh-CN"/>
              </w:rPr>
              <w:t>及相关资质证书</w:t>
            </w:r>
            <w:r>
              <w:rPr>
                <w:rFonts w:hint="eastAsia" w:ascii="宋体" w:hAnsi="宋体" w:eastAsia="宋体" w:cs="宋体"/>
              </w:rPr>
              <w:t>，并提供有效的加盖公章的证书复印件。</w:t>
            </w:r>
          </w:p>
          <w:p w14:paraId="231529C9">
            <w:pPr>
              <w:numPr>
                <w:ilvl w:val="0"/>
                <w:numId w:val="0"/>
              </w:numPr>
              <w:rPr>
                <w:rFonts w:hint="eastAsia" w:ascii="宋体" w:hAnsi="宋体" w:eastAsia="宋体" w:cs="宋体"/>
              </w:rPr>
            </w:pPr>
            <w:r>
              <w:rPr>
                <w:rFonts w:hint="eastAsia" w:cs="宋体"/>
                <w:lang w:val="en-US" w:eastAsia="zh-CN"/>
              </w:rPr>
              <w:t>6.</w:t>
            </w:r>
            <w:r>
              <w:rPr>
                <w:rFonts w:hint="eastAsia" w:ascii="宋体" w:hAnsi="宋体" w:eastAsia="宋体" w:cs="宋体"/>
              </w:rPr>
              <w:t>体系证书等资质证明。</w:t>
            </w:r>
          </w:p>
          <w:p w14:paraId="5D8420DA">
            <w:pPr>
              <w:numPr>
                <w:ilvl w:val="0"/>
                <w:numId w:val="0"/>
              </w:numPr>
              <w:rPr>
                <w:rFonts w:hint="eastAsia" w:ascii="宋体" w:hAnsi="宋体" w:eastAsia="宋体" w:cs="宋体"/>
              </w:rPr>
            </w:pPr>
            <w:r>
              <w:rPr>
                <w:rFonts w:hint="eastAsia" w:cs="宋体"/>
                <w:lang w:val="en-US" w:eastAsia="zh-CN"/>
              </w:rPr>
              <w:t>7.</w:t>
            </w:r>
            <w:r>
              <w:rPr>
                <w:rFonts w:hint="eastAsia" w:ascii="宋体" w:hAnsi="宋体" w:eastAsia="宋体" w:cs="宋体"/>
                <w:lang w:val="en-US" w:eastAsia="zh-CN"/>
              </w:rPr>
              <w:t>业绩</w:t>
            </w:r>
            <w:r>
              <w:rPr>
                <w:rFonts w:hint="eastAsia" w:ascii="宋体" w:hAnsi="宋体" w:eastAsia="宋体" w:cs="宋体"/>
              </w:rPr>
              <w:t>证明。</w:t>
            </w:r>
          </w:p>
        </w:tc>
      </w:tr>
      <w:tr w14:paraId="7A3A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14:paraId="4EFA589B">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c>
          <w:tcPr>
            <w:tcW w:w="1724" w:type="dxa"/>
            <w:vAlign w:val="center"/>
          </w:tcPr>
          <w:p w14:paraId="5AC9200D">
            <w:pPr>
              <w:jc w:val="center"/>
              <w:rPr>
                <w:rFonts w:hint="eastAsia" w:eastAsia="宋体"/>
                <w:lang w:val="en-US" w:eastAsia="zh-CN"/>
              </w:rPr>
            </w:pPr>
            <w:r>
              <w:rPr>
                <w:rFonts w:hint="eastAsia"/>
                <w:lang w:val="en-US" w:eastAsia="zh-CN"/>
              </w:rPr>
              <w:t>付款方式</w:t>
            </w:r>
          </w:p>
        </w:tc>
        <w:tc>
          <w:tcPr>
            <w:tcW w:w="7150" w:type="dxa"/>
            <w:vAlign w:val="center"/>
          </w:tcPr>
          <w:p w14:paraId="1EDE8604">
            <w:pPr>
              <w:numPr>
                <w:ilvl w:val="0"/>
                <w:numId w:val="0"/>
              </w:numPr>
              <w:rPr>
                <w:rFonts w:hint="eastAsia"/>
              </w:rPr>
            </w:pPr>
            <w:r>
              <w:rPr>
                <w:rFonts w:hint="eastAsia"/>
                <w:lang w:val="en-US" w:eastAsia="zh-CN"/>
              </w:rPr>
              <w:t>1.</w:t>
            </w:r>
            <w:r>
              <w:rPr>
                <w:rFonts w:hint="eastAsia"/>
              </w:rPr>
              <w:t>预付款：为合同总价的30 %，在合同签订、卖方提交履约保证金后10 日内支付；</w:t>
            </w:r>
          </w:p>
          <w:p w14:paraId="0C6C5DAF">
            <w:pPr>
              <w:numPr>
                <w:ilvl w:val="0"/>
                <w:numId w:val="0"/>
              </w:numPr>
              <w:rPr>
                <w:rFonts w:hint="eastAsia"/>
              </w:rPr>
            </w:pPr>
            <w:r>
              <w:rPr>
                <w:rFonts w:hint="eastAsia"/>
                <w:lang w:val="en-US" w:eastAsia="zh-CN"/>
              </w:rPr>
              <w:t>2.</w:t>
            </w:r>
            <w:r>
              <w:rPr>
                <w:rFonts w:hint="eastAsia"/>
              </w:rPr>
              <w:t>发货前付款：设备发货前预验收，验收合格无异议之日起14日内付合同总</w:t>
            </w:r>
            <w:bookmarkStart w:id="52" w:name="OLE_LINK16"/>
            <w:r>
              <w:rPr>
                <w:rFonts w:hint="eastAsia"/>
              </w:rPr>
              <w:t>价的30%；</w:t>
            </w:r>
          </w:p>
          <w:p w14:paraId="1B572DCF">
            <w:pPr>
              <w:numPr>
                <w:ilvl w:val="0"/>
                <w:numId w:val="0"/>
              </w:numPr>
              <w:rPr>
                <w:rFonts w:hint="eastAsia"/>
              </w:rPr>
            </w:pPr>
            <w:r>
              <w:rPr>
                <w:rFonts w:hint="eastAsia"/>
                <w:lang w:val="en-US" w:eastAsia="zh-CN"/>
              </w:rPr>
              <w:t>3.</w:t>
            </w:r>
            <w:r>
              <w:rPr>
                <w:rFonts w:hint="eastAsia"/>
              </w:rPr>
              <w:t>设备现场安</w:t>
            </w:r>
            <w:bookmarkEnd w:id="52"/>
            <w:r>
              <w:rPr>
                <w:rFonts w:hint="eastAsia"/>
              </w:rPr>
              <w:t>装、调试、负荷试验验收合格后，付合同总价的30%；</w:t>
            </w:r>
          </w:p>
          <w:p w14:paraId="1DAEB480">
            <w:pPr>
              <w:numPr>
                <w:ilvl w:val="0"/>
                <w:numId w:val="0"/>
              </w:numPr>
              <w:rPr>
                <w:rFonts w:hint="eastAsia"/>
              </w:rPr>
            </w:pPr>
            <w:r>
              <w:rPr>
                <w:rFonts w:hint="eastAsia"/>
                <w:lang w:val="en-US" w:eastAsia="zh-CN"/>
              </w:rPr>
              <w:t>4.</w:t>
            </w:r>
            <w:r>
              <w:rPr>
                <w:rFonts w:hint="eastAsia"/>
              </w:rPr>
              <w:t>设备最终验收合格（质量保证期满）后，</w:t>
            </w:r>
            <w:r>
              <w:rPr>
                <w:rFonts w:hint="eastAsia"/>
                <w:lang w:val="en-US" w:eastAsia="zh-CN"/>
              </w:rPr>
              <w:t>无</w:t>
            </w:r>
            <w:r>
              <w:rPr>
                <w:rFonts w:hint="eastAsia"/>
              </w:rPr>
              <w:t>任何质量问题，剩余10%货款</w:t>
            </w:r>
            <w:r>
              <w:rPr>
                <w:rFonts w:hint="eastAsia"/>
                <w:lang w:val="en-US" w:eastAsia="zh-CN"/>
              </w:rPr>
              <w:t>1个月</w:t>
            </w:r>
            <w:r>
              <w:rPr>
                <w:rFonts w:hint="eastAsia"/>
              </w:rPr>
              <w:t>一次付清。</w:t>
            </w:r>
          </w:p>
        </w:tc>
      </w:tr>
      <w:tr w14:paraId="0BBC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47" w:type="dxa"/>
            <w:vAlign w:val="center"/>
          </w:tcPr>
          <w:p w14:paraId="7D199850">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c>
          <w:tcPr>
            <w:tcW w:w="1724" w:type="dxa"/>
            <w:vAlign w:val="center"/>
          </w:tcPr>
          <w:p w14:paraId="65607FE1">
            <w:pPr>
              <w:jc w:val="center"/>
              <w:rPr>
                <w:rFonts w:hint="default"/>
                <w:lang w:val="en-US" w:eastAsia="zh-CN"/>
              </w:rPr>
            </w:pPr>
            <w:r>
              <w:rPr>
                <w:rFonts w:hint="eastAsia"/>
                <w:lang w:val="en-US" w:eastAsia="zh-CN"/>
              </w:rPr>
              <w:t>交货期</w:t>
            </w:r>
          </w:p>
        </w:tc>
        <w:tc>
          <w:tcPr>
            <w:tcW w:w="7150" w:type="dxa"/>
            <w:vAlign w:val="center"/>
          </w:tcPr>
          <w:p w14:paraId="085B7BF3">
            <w:pPr>
              <w:numPr>
                <w:ilvl w:val="0"/>
                <w:numId w:val="0"/>
              </w:numPr>
              <w:rPr>
                <w:rFonts w:hint="default" w:eastAsia="宋体"/>
                <w:lang w:val="en-US" w:eastAsia="zh-CN"/>
              </w:rPr>
            </w:pPr>
            <w:r>
              <w:rPr>
                <w:rFonts w:hint="eastAsia"/>
                <w:lang w:val="en-US" w:eastAsia="zh-CN"/>
              </w:rPr>
              <w:t>中标后，签订合同之日起80日内</w:t>
            </w:r>
          </w:p>
        </w:tc>
      </w:tr>
      <w:tr w14:paraId="5E89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47" w:type="dxa"/>
            <w:vAlign w:val="center"/>
          </w:tcPr>
          <w:p w14:paraId="281A6346">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c>
          <w:tcPr>
            <w:tcW w:w="1724" w:type="dxa"/>
            <w:vAlign w:val="center"/>
          </w:tcPr>
          <w:p w14:paraId="16C56BA3">
            <w:pPr>
              <w:jc w:val="center"/>
              <w:rPr>
                <w:rFonts w:hint="eastAsia" w:eastAsia="宋体"/>
                <w:lang w:val="en-US" w:eastAsia="zh-CN"/>
              </w:rPr>
            </w:pPr>
            <w:r>
              <w:rPr>
                <w:rFonts w:hint="eastAsia"/>
                <w:lang w:val="en-US" w:eastAsia="zh-CN"/>
              </w:rPr>
              <w:t>投标保证金</w:t>
            </w:r>
          </w:p>
        </w:tc>
        <w:tc>
          <w:tcPr>
            <w:tcW w:w="7150" w:type="dxa"/>
            <w:vAlign w:val="center"/>
          </w:tcPr>
          <w:p w14:paraId="59AA6255">
            <w:pPr>
              <w:numPr>
                <w:ilvl w:val="0"/>
                <w:numId w:val="0"/>
              </w:numPr>
              <w:rPr>
                <w:rFonts w:hint="default" w:eastAsia="宋体"/>
                <w:lang w:val="en-US" w:eastAsia="zh-CN"/>
              </w:rPr>
            </w:pPr>
            <w:r>
              <w:rPr>
                <w:rFonts w:hint="eastAsia"/>
                <w:lang w:val="en-US" w:eastAsia="zh-CN"/>
              </w:rPr>
              <w:t>贰万</w:t>
            </w:r>
            <w:r>
              <w:rPr>
                <w:rFonts w:hint="eastAsia"/>
              </w:rPr>
              <w:t>元整</w:t>
            </w:r>
            <w:r>
              <w:rPr>
                <w:rFonts w:hint="eastAsia"/>
                <w:lang w:eastAsia="zh-CN"/>
              </w:rPr>
              <w:t>，</w:t>
            </w:r>
            <w:r>
              <w:rPr>
                <w:rFonts w:hint="eastAsia"/>
                <w:lang w:val="en-US" w:eastAsia="zh-CN"/>
              </w:rPr>
              <w:t>中标单位的投标保证金自动转成履约保证金。</w:t>
            </w:r>
          </w:p>
        </w:tc>
      </w:tr>
      <w:tr w14:paraId="2BF6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47" w:type="dxa"/>
            <w:vAlign w:val="center"/>
          </w:tcPr>
          <w:p w14:paraId="576463E9">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13</w:t>
            </w:r>
          </w:p>
        </w:tc>
        <w:tc>
          <w:tcPr>
            <w:tcW w:w="1724" w:type="dxa"/>
            <w:vAlign w:val="center"/>
          </w:tcPr>
          <w:p w14:paraId="73774C83">
            <w:pPr>
              <w:jc w:val="center"/>
              <w:rPr>
                <w:rFonts w:hint="eastAsia"/>
              </w:rPr>
            </w:pPr>
            <w:r>
              <w:rPr>
                <w:rFonts w:hint="eastAsia"/>
              </w:rPr>
              <w:t>投标截止时间</w:t>
            </w:r>
          </w:p>
        </w:tc>
        <w:tc>
          <w:tcPr>
            <w:tcW w:w="7150" w:type="dxa"/>
            <w:vAlign w:val="center"/>
          </w:tcPr>
          <w:p w14:paraId="1D88116E">
            <w:pPr>
              <w:rPr>
                <w:rFonts w:hint="eastAsia" w:eastAsia="宋体"/>
                <w:lang w:val="en-US" w:eastAsia="zh-CN"/>
              </w:rPr>
            </w:pPr>
            <w:r>
              <w:rPr>
                <w:rFonts w:hint="eastAsia"/>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25</w:t>
            </w:r>
            <w:r>
              <w:rPr>
                <w:rFonts w:hint="eastAsia"/>
                <w:color w:val="000000" w:themeColor="text1"/>
                <w14:textFill>
                  <w14:solidFill>
                    <w14:schemeClr w14:val="tx1"/>
                  </w14:solidFill>
                </w14:textFill>
              </w:rPr>
              <w:t>日</w:t>
            </w:r>
            <w:r>
              <w:rPr>
                <w:rFonts w:hint="eastAsia"/>
                <w:color w:val="000000" w:themeColor="text1"/>
                <w:lang w:val="en-US" w:eastAsia="zh-CN"/>
                <w14:textFill>
                  <w14:solidFill>
                    <w14:schemeClr w14:val="tx1"/>
                  </w14:solidFill>
                </w14:textFill>
              </w:rPr>
              <w:t>14</w:t>
            </w:r>
            <w:r>
              <w:rPr>
                <w:rFonts w:hint="eastAsia"/>
                <w:color w:val="000000" w:themeColor="text1"/>
                <w14:textFill>
                  <w14:solidFill>
                    <w14:schemeClr w14:val="tx1"/>
                  </w14:solidFill>
                </w14:textFill>
              </w:rPr>
              <w:t>时00分</w:t>
            </w:r>
          </w:p>
        </w:tc>
      </w:tr>
      <w:tr w14:paraId="26EB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747" w:type="dxa"/>
            <w:vAlign w:val="center"/>
          </w:tcPr>
          <w:p w14:paraId="26794D1E">
            <w:pPr>
              <w:pStyle w:val="73"/>
              <w:numPr>
                <w:ilvl w:val="0"/>
                <w:numId w:val="0"/>
              </w:numPr>
              <w:ind w:leftChars="0"/>
              <w:jc w:val="center"/>
              <w:rPr>
                <w:rFonts w:hint="default" w:ascii="宋体" w:hAnsi="宋体" w:cs="宋体"/>
                <w:sz w:val="24"/>
                <w:szCs w:val="24"/>
                <w:lang w:val="en-US" w:eastAsia="zh-CN"/>
              </w:rPr>
            </w:pPr>
            <w:r>
              <w:rPr>
                <w:rFonts w:hint="eastAsia" w:ascii="宋体" w:hAnsi="宋体" w:cs="宋体"/>
                <w:sz w:val="24"/>
                <w:szCs w:val="24"/>
                <w:lang w:val="en-US" w:eastAsia="zh-CN"/>
              </w:rPr>
              <w:t>14</w:t>
            </w:r>
          </w:p>
        </w:tc>
        <w:tc>
          <w:tcPr>
            <w:tcW w:w="1724" w:type="dxa"/>
            <w:vAlign w:val="center"/>
          </w:tcPr>
          <w:p w14:paraId="23955762">
            <w:pPr>
              <w:jc w:val="center"/>
              <w:rPr>
                <w:rFonts w:hint="eastAsia" w:ascii="宋体" w:hAnsi="宋体" w:eastAsia="宋体" w:cs="宋体"/>
                <w:lang w:eastAsia="zh-CN"/>
              </w:rPr>
            </w:pPr>
            <w:r>
              <w:rPr>
                <w:rFonts w:hint="default" w:ascii="宋体" w:hAnsi="宋体" w:eastAsia="宋体" w:cs="宋体"/>
                <w:lang w:val="en-US" w:eastAsia="zh-CN"/>
              </w:rPr>
              <w:t>报名</w:t>
            </w:r>
            <w:r>
              <w:rPr>
                <w:rFonts w:hint="eastAsia" w:ascii="宋体" w:hAnsi="宋体" w:eastAsia="宋体" w:cs="宋体"/>
                <w:lang w:val="en-US" w:eastAsia="zh-CN"/>
              </w:rPr>
              <w:t>方式</w:t>
            </w:r>
          </w:p>
        </w:tc>
        <w:tc>
          <w:tcPr>
            <w:tcW w:w="7150" w:type="dxa"/>
            <w:vAlign w:val="center"/>
          </w:tcPr>
          <w:p w14:paraId="1373AAAB">
            <w:pPr>
              <w:rPr>
                <w:rFonts w:hint="eastAsia" w:ascii="宋体" w:hAnsi="宋体" w:eastAsia="宋体" w:cs="宋体"/>
                <w:lang w:eastAsia="zh-CN"/>
              </w:rPr>
            </w:pPr>
            <w:r>
              <w:rPr>
                <w:rFonts w:hint="eastAsia" w:ascii="宋体" w:hAnsi="宋体" w:eastAsia="宋体" w:cs="宋体"/>
                <w:lang w:val="en-US" w:eastAsia="zh-CN"/>
              </w:rPr>
              <w:t>线上报名：投标人需登录甘肃智慧阳光采购平台进行报名、投标，务必在报名截止时间前完成注册并获得投标资格。</w:t>
            </w:r>
          </w:p>
        </w:tc>
      </w:tr>
      <w:tr w14:paraId="2DE2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747" w:type="dxa"/>
            <w:vAlign w:val="center"/>
          </w:tcPr>
          <w:p w14:paraId="46246C71">
            <w:pPr>
              <w:pStyle w:val="73"/>
              <w:numPr>
                <w:ilvl w:val="0"/>
                <w:numId w:val="0"/>
              </w:numPr>
              <w:ind w:leftChars="0"/>
              <w:jc w:val="center"/>
              <w:rPr>
                <w:rFonts w:hint="default" w:ascii="宋体" w:hAnsi="宋体" w:cs="宋体"/>
                <w:sz w:val="24"/>
                <w:szCs w:val="24"/>
                <w:lang w:val="en-US" w:eastAsia="zh-CN"/>
              </w:rPr>
            </w:pPr>
            <w:r>
              <w:rPr>
                <w:rFonts w:hint="eastAsia" w:ascii="宋体" w:hAnsi="宋体" w:cs="宋体"/>
                <w:sz w:val="24"/>
                <w:szCs w:val="24"/>
                <w:lang w:val="en-US" w:eastAsia="zh-CN"/>
              </w:rPr>
              <w:t>15</w:t>
            </w:r>
          </w:p>
        </w:tc>
        <w:tc>
          <w:tcPr>
            <w:tcW w:w="1724" w:type="dxa"/>
            <w:vAlign w:val="center"/>
          </w:tcPr>
          <w:p w14:paraId="1E957530">
            <w:pPr>
              <w:numPr>
                <w:ilvl w:val="0"/>
                <w:numId w:val="0"/>
              </w:numPr>
              <w:jc w:val="center"/>
              <w:rPr>
                <w:rFonts w:hint="eastAsia" w:ascii="宋体" w:hAnsi="宋体" w:eastAsia="宋体" w:cs="宋体"/>
                <w:lang w:val="en-US" w:eastAsia="zh-CN"/>
              </w:rPr>
            </w:pPr>
            <w:r>
              <w:rPr>
                <w:rFonts w:hint="eastAsia" w:cs="宋体"/>
                <w:lang w:val="en-US" w:eastAsia="zh-CN"/>
              </w:rPr>
              <w:t>联系电话</w:t>
            </w:r>
          </w:p>
        </w:tc>
        <w:tc>
          <w:tcPr>
            <w:tcW w:w="7150" w:type="dxa"/>
            <w:vAlign w:val="center"/>
          </w:tcPr>
          <w:p w14:paraId="26D55159">
            <w:pPr>
              <w:numPr>
                <w:ilvl w:val="0"/>
                <w:numId w:val="0"/>
              </w:numPr>
              <w:rPr>
                <w:rFonts w:hint="eastAsia" w:cs="宋体"/>
                <w:lang w:val="en-US" w:eastAsia="zh-CN"/>
              </w:rPr>
            </w:pPr>
            <w:r>
              <w:rPr>
                <w:rFonts w:hint="eastAsia" w:cs="宋体"/>
                <w:lang w:val="en-US" w:eastAsia="zh-CN"/>
              </w:rPr>
              <w:t>报名联系人：赵工     0931-2907072      17339816763</w:t>
            </w:r>
          </w:p>
          <w:p w14:paraId="02AA7247">
            <w:pPr>
              <w:spacing w:line="360" w:lineRule="auto"/>
              <w:rPr>
                <w:rFonts w:hint="eastAsia" w:ascii="黑体" w:hAnsi="华文中宋" w:eastAsia="黑体"/>
                <w:bCs/>
                <w:sz w:val="30"/>
                <w:szCs w:val="30"/>
              </w:rPr>
            </w:pPr>
            <w:r>
              <w:rPr>
                <w:rFonts w:hint="eastAsia" w:cs="宋体"/>
                <w:lang w:val="en-US" w:eastAsia="zh-CN"/>
              </w:rPr>
              <w:t xml:space="preserve">技术联系人：李工     </w:t>
            </w:r>
            <w:r>
              <w:rPr>
                <w:rFonts w:hint="eastAsia" w:ascii="宋体" w:hAnsi="宋体" w:eastAsia="宋体" w:cs="宋体"/>
                <w:lang w:val="en-US" w:eastAsia="zh-CN"/>
              </w:rPr>
              <w:t>0931-2907069      15117156119</w:t>
            </w:r>
          </w:p>
          <w:p w14:paraId="5F7BE6AE">
            <w:pPr>
              <w:numPr>
                <w:ilvl w:val="0"/>
                <w:numId w:val="0"/>
              </w:numPr>
              <w:spacing w:line="240" w:lineRule="auto"/>
              <w:rPr>
                <w:rFonts w:hint="default" w:cs="宋体"/>
                <w:lang w:val="en-US" w:eastAsia="zh-CN"/>
              </w:rPr>
            </w:pPr>
            <w:r>
              <w:rPr>
                <w:rFonts w:hint="eastAsia" w:cs="宋体"/>
                <w:lang w:val="en-US" w:eastAsia="zh-CN"/>
              </w:rPr>
              <w:t xml:space="preserve">            </w:t>
            </w:r>
            <w:r>
              <w:rPr>
                <w:rFonts w:hint="eastAsia" w:ascii="宋体" w:hAnsi="宋体" w:eastAsia="宋体" w:cs="宋体"/>
                <w:lang w:val="en-US" w:eastAsia="zh-CN"/>
              </w:rPr>
              <w:t>李主任    13919255205</w:t>
            </w:r>
          </w:p>
        </w:tc>
      </w:tr>
      <w:tr w14:paraId="4F95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47" w:type="dxa"/>
            <w:vAlign w:val="center"/>
          </w:tcPr>
          <w:p w14:paraId="22641FA1">
            <w:pPr>
              <w:pStyle w:val="73"/>
              <w:numPr>
                <w:ilvl w:val="0"/>
                <w:numId w:val="0"/>
              </w:numPr>
              <w:ind w:leftChars="0"/>
              <w:jc w:val="center"/>
              <w:rPr>
                <w:rFonts w:hint="default" w:ascii="宋体" w:hAnsi="宋体" w:cs="宋体"/>
                <w:sz w:val="24"/>
                <w:szCs w:val="24"/>
                <w:lang w:val="en-US" w:eastAsia="zh-CN"/>
              </w:rPr>
            </w:pPr>
            <w:r>
              <w:rPr>
                <w:rFonts w:hint="eastAsia" w:ascii="宋体" w:hAnsi="宋体" w:cs="宋体"/>
                <w:sz w:val="24"/>
                <w:szCs w:val="24"/>
                <w:lang w:val="en-US" w:eastAsia="zh-CN"/>
              </w:rPr>
              <w:t>16</w:t>
            </w:r>
          </w:p>
        </w:tc>
        <w:tc>
          <w:tcPr>
            <w:tcW w:w="1724" w:type="dxa"/>
            <w:vAlign w:val="center"/>
          </w:tcPr>
          <w:p w14:paraId="7DAF3DB5">
            <w:pPr>
              <w:numPr>
                <w:ilvl w:val="0"/>
                <w:numId w:val="0"/>
              </w:numPr>
              <w:jc w:val="center"/>
              <w:rPr>
                <w:rFonts w:hint="eastAsia" w:ascii="宋体" w:hAnsi="宋体" w:eastAsia="宋体" w:cs="宋体"/>
              </w:rPr>
            </w:pPr>
            <w:r>
              <w:rPr>
                <w:rFonts w:hint="eastAsia" w:ascii="宋体" w:hAnsi="宋体" w:eastAsia="宋体" w:cs="宋体"/>
                <w:lang w:val="en-US" w:eastAsia="zh-CN"/>
              </w:rPr>
              <w:t>发布公告的媒介</w:t>
            </w:r>
          </w:p>
        </w:tc>
        <w:tc>
          <w:tcPr>
            <w:tcW w:w="7150" w:type="dxa"/>
            <w:vAlign w:val="center"/>
          </w:tcPr>
          <w:p w14:paraId="3B5EA82E">
            <w:pPr>
              <w:numPr>
                <w:ilvl w:val="0"/>
                <w:numId w:val="0"/>
              </w:numPr>
              <w:rPr>
                <w:rFonts w:hint="eastAsia" w:ascii="宋体" w:hAnsi="宋体" w:eastAsia="宋体" w:cs="宋体"/>
              </w:rPr>
            </w:pPr>
            <w:r>
              <w:rPr>
                <w:rFonts w:hint="eastAsia" w:ascii="宋体" w:hAnsi="宋体" w:eastAsia="宋体" w:cs="宋体"/>
                <w:lang w:val="en-US" w:eastAsia="zh-CN"/>
              </w:rPr>
              <w:t>本次谈判公告在甘肃智慧阳光采购平台上（网址：http://www.zhygcg.com）</w:t>
            </w:r>
            <w:r>
              <w:rPr>
                <w:rFonts w:hint="eastAsia" w:cs="宋体"/>
                <w:lang w:val="en-US" w:eastAsia="zh-CN"/>
              </w:rPr>
              <w:t>、</w:t>
            </w:r>
            <w:r>
              <w:rPr>
                <w:rFonts w:hint="eastAsia" w:ascii="宋体" w:hAnsi="宋体" w:eastAsia="宋体" w:cs="宋体"/>
                <w:lang w:val="en-US" w:eastAsia="zh-CN"/>
              </w:rPr>
              <w:t>甘肃经济信息网上同时发布。因轻信其他媒体、组织或个人提供的信息而造成损失的，招标人概不负责。</w:t>
            </w:r>
          </w:p>
        </w:tc>
      </w:tr>
      <w:tr w14:paraId="43DC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47" w:type="dxa"/>
            <w:vAlign w:val="center"/>
          </w:tcPr>
          <w:p w14:paraId="59D42C79">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17</w:t>
            </w:r>
          </w:p>
        </w:tc>
        <w:tc>
          <w:tcPr>
            <w:tcW w:w="1724" w:type="dxa"/>
            <w:vAlign w:val="center"/>
          </w:tcPr>
          <w:p w14:paraId="0E789487">
            <w:pPr>
              <w:numPr>
                <w:ilvl w:val="0"/>
                <w:numId w:val="0"/>
              </w:numPr>
              <w:jc w:val="center"/>
              <w:rPr>
                <w:rFonts w:hint="eastAsia" w:ascii="宋体" w:hAnsi="宋体" w:eastAsia="宋体" w:cs="宋体"/>
              </w:rPr>
            </w:pPr>
            <w:r>
              <w:rPr>
                <w:rFonts w:hint="eastAsia" w:ascii="宋体" w:hAnsi="宋体" w:eastAsia="宋体" w:cs="宋体"/>
                <w:lang w:val="en-US" w:eastAsia="zh-CN"/>
              </w:rPr>
              <w:t>投标文件的递交及相关事宜</w:t>
            </w:r>
          </w:p>
        </w:tc>
        <w:tc>
          <w:tcPr>
            <w:tcW w:w="7150" w:type="dxa"/>
            <w:vAlign w:val="center"/>
          </w:tcPr>
          <w:p w14:paraId="772B79B0">
            <w:pPr>
              <w:numPr>
                <w:ilvl w:val="0"/>
                <w:numId w:val="0"/>
              </w:numP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本项目采用</w:t>
            </w:r>
            <w:r>
              <w:rPr>
                <w:rFonts w:hint="default" w:ascii="宋体" w:hAnsi="宋体" w:eastAsia="宋体" w:cs="宋体"/>
                <w:color w:val="000000" w:themeColor="text1"/>
                <w:lang w:val="en-US" w:eastAsia="zh-CN"/>
                <w14:textFill>
                  <w14:solidFill>
                    <w14:schemeClr w14:val="tx1"/>
                  </w14:solidFill>
                </w14:textFill>
              </w:rPr>
              <w:t>“线上报名及投标 + 线下开标评标”模式</w:t>
            </w:r>
            <w:r>
              <w:rPr>
                <w:rFonts w:hint="eastAsia" w:ascii="宋体" w:hAnsi="宋体" w:eastAsia="宋体" w:cs="宋体"/>
                <w:color w:val="000000" w:themeColor="text1"/>
                <w:lang w:val="en-US" w:eastAsia="zh-CN"/>
                <w14:textFill>
                  <w14:solidFill>
                    <w14:schemeClr w14:val="tx1"/>
                  </w14:solidFill>
                </w14:textFill>
              </w:rPr>
              <w:t>，</w:t>
            </w:r>
            <w:r>
              <w:rPr>
                <w:rFonts w:hint="default" w:ascii="宋体" w:hAnsi="宋体" w:eastAsia="宋体" w:cs="宋体"/>
                <w:color w:val="000000" w:themeColor="text1"/>
                <w:lang w:val="en-US" w:eastAsia="zh-CN"/>
                <w14:textFill>
                  <w14:solidFill>
                    <w14:schemeClr w14:val="tx1"/>
                  </w14:solidFill>
                </w14:textFill>
              </w:rPr>
              <w:t>具体安排如下：</w:t>
            </w:r>
          </w:p>
          <w:p w14:paraId="03AEA61A">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线上环节（甘肃智慧阳光采购平台）：</w:t>
            </w:r>
          </w:p>
          <w:p w14:paraId="738609E9">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1、投标截止时间：2026年</w:t>
            </w:r>
            <w:r>
              <w:rPr>
                <w:rFonts w:hint="eastAsia" w:cs="宋体"/>
                <w:color w:val="000000" w:themeColor="text1"/>
                <w:lang w:val="en-US" w:eastAsia="zh-CN"/>
                <w14:textFill>
                  <w14:solidFill>
                    <w14:schemeClr w14:val="tx1"/>
                  </w14:solidFill>
                </w14:textFill>
              </w:rPr>
              <w:t>8</w:t>
            </w:r>
            <w:r>
              <w:rPr>
                <w:rFonts w:hint="eastAsia" w:ascii="宋体" w:hAnsi="宋体" w:eastAsia="宋体" w:cs="宋体"/>
                <w:color w:val="000000" w:themeColor="text1"/>
                <w:lang w:val="en-US" w:eastAsia="zh-CN"/>
                <w14:textFill>
                  <w14:solidFill>
                    <w14:schemeClr w14:val="tx1"/>
                  </w14:solidFill>
                </w14:textFill>
              </w:rPr>
              <w:t>月2</w:t>
            </w:r>
            <w:r>
              <w:rPr>
                <w:rFonts w:hint="eastAsia"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lang w:val="en-US" w:eastAsia="zh-CN"/>
                <w14:textFill>
                  <w14:solidFill>
                    <w14:schemeClr w14:val="tx1"/>
                  </w14:solidFill>
                </w14:textFill>
              </w:rPr>
              <w:t>日14:00。</w:t>
            </w:r>
          </w:p>
          <w:p w14:paraId="431EF9CB">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要求：投标人须在截止时间前成功递交所有电子投标文件，逾期递交视为无效。</w:t>
            </w:r>
          </w:p>
          <w:p w14:paraId="6C37061B">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线下环节：</w:t>
            </w:r>
          </w:p>
          <w:p w14:paraId="0BC43EC7">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2、投标文件递交时间及地点：线下投标应于2026年</w:t>
            </w:r>
            <w:r>
              <w:rPr>
                <w:rFonts w:hint="eastAsia" w:cs="宋体"/>
                <w:color w:val="000000" w:themeColor="text1"/>
                <w:lang w:val="en-US" w:eastAsia="zh-CN"/>
                <w14:textFill>
                  <w14:solidFill>
                    <w14:schemeClr w14:val="tx1"/>
                  </w14:solidFill>
                </w14:textFill>
              </w:rPr>
              <w:t>8</w:t>
            </w:r>
            <w:r>
              <w:rPr>
                <w:rFonts w:hint="eastAsia" w:ascii="宋体" w:hAnsi="宋体" w:eastAsia="宋体" w:cs="宋体"/>
                <w:color w:val="000000" w:themeColor="text1"/>
                <w:lang w:val="en-US" w:eastAsia="zh-CN"/>
                <w14:textFill>
                  <w14:solidFill>
                    <w14:schemeClr w14:val="tx1"/>
                  </w14:solidFill>
                </w14:textFill>
              </w:rPr>
              <w:t>月2</w:t>
            </w:r>
            <w:r>
              <w:rPr>
                <w:rFonts w:hint="eastAsia"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lang w:val="en-US" w:eastAsia="zh-CN"/>
                <w14:textFill>
                  <w14:solidFill>
                    <w14:schemeClr w14:val="tx1"/>
                  </w14:solidFill>
                </w14:textFill>
              </w:rPr>
              <w:t xml:space="preserve">日13时30分至14时00分将投标文件（纸质版）递交至兰州兰石集团有限公司动力公司办公楼3楼302开标室。 </w:t>
            </w:r>
          </w:p>
          <w:p w14:paraId="0A4D3F74">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3开标评标时间及地点：2026年</w:t>
            </w:r>
            <w:r>
              <w:rPr>
                <w:rFonts w:hint="eastAsia" w:cs="宋体"/>
                <w:color w:val="000000" w:themeColor="text1"/>
                <w:lang w:val="en-US" w:eastAsia="zh-CN"/>
                <w14:textFill>
                  <w14:solidFill>
                    <w14:schemeClr w14:val="tx1"/>
                  </w14:solidFill>
                </w14:textFill>
              </w:rPr>
              <w:t>8</w:t>
            </w:r>
            <w:r>
              <w:rPr>
                <w:rFonts w:hint="eastAsia" w:ascii="宋体" w:hAnsi="宋体" w:eastAsia="宋体" w:cs="宋体"/>
                <w:color w:val="000000" w:themeColor="text1"/>
                <w:lang w:val="en-US" w:eastAsia="zh-CN"/>
                <w14:textFill>
                  <w14:solidFill>
                    <w14:schemeClr w14:val="tx1"/>
                  </w14:solidFill>
                </w14:textFill>
              </w:rPr>
              <w:t>月2</w:t>
            </w:r>
            <w:r>
              <w:rPr>
                <w:rFonts w:hint="eastAsia"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lang w:val="en-US" w:eastAsia="zh-CN"/>
                <w14:textFill>
                  <w14:solidFill>
                    <w14:schemeClr w14:val="tx1"/>
                  </w14:solidFill>
                </w14:textFill>
              </w:rPr>
              <w:t>日14:00，</w:t>
            </w:r>
            <w:r>
              <w:rPr>
                <w:rFonts w:hint="eastAsia" w:ascii="宋体" w:hAnsi="宋体" w:eastAsia="宋体" w:cs="宋体"/>
                <w:color w:val="000000" w:themeColor="text1"/>
                <w14:textFill>
                  <w14:solidFill>
                    <w14:schemeClr w14:val="tx1"/>
                  </w14:solidFill>
                </w14:textFill>
              </w:rPr>
              <w:t>兰州新区黄河大道518号</w:t>
            </w:r>
            <w:r>
              <w:rPr>
                <w:rFonts w:hint="eastAsia" w:ascii="宋体" w:hAnsi="宋体" w:eastAsia="宋体" w:cs="宋体"/>
                <w:color w:val="000000" w:themeColor="text1"/>
                <w:lang w:val="en-US" w:eastAsia="zh-CN"/>
                <w14:textFill>
                  <w14:solidFill>
                    <w14:schemeClr w14:val="tx1"/>
                  </w14:solidFill>
                </w14:textFill>
              </w:rPr>
              <w:t>兰州兰石集团有限公司动力公司3楼会议室；</w:t>
            </w:r>
          </w:p>
          <w:p w14:paraId="483EA204">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default" w:ascii="宋体" w:hAnsi="宋体" w:eastAsia="宋体" w:cs="宋体"/>
                <w:color w:val="000000" w:themeColor="text1"/>
                <w:lang w:val="en-US" w:eastAsia="zh-CN"/>
                <w14:textFill>
                  <w14:solidFill>
                    <w14:schemeClr w14:val="tx1"/>
                  </w14:solidFill>
                </w14:textFill>
              </w:rPr>
              <w:t>携带资料：投标人需携带纸质投标文件、法定代表人或授权委托人本人身份证原件、授权委托书原件。</w:t>
            </w:r>
          </w:p>
          <w:p w14:paraId="73C42FBD">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4、在投标截止时间未提交投标文件的投标人，招标人将不予受理。 </w:t>
            </w:r>
          </w:p>
          <w:p w14:paraId="2F78C6DD">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5、投标人须登录甘肃智慧阳光采购平台进行投标和开标活动，务 </w:t>
            </w:r>
          </w:p>
          <w:p w14:paraId="01EEB895">
            <w:pPr>
              <w:numPr>
                <w:ilvl w:val="0"/>
                <w:numId w:val="0"/>
              </w:numP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必在开标前完成注册并获得投标资格，中标情况将在本网公示。 </w:t>
            </w:r>
          </w:p>
          <w:p w14:paraId="763DB230">
            <w:pPr>
              <w:numPr>
                <w:ilvl w:val="0"/>
                <w:numId w:val="0"/>
              </w:numPr>
              <w:rPr>
                <w:rFonts w:hint="eastAsia" w:ascii="宋体" w:hAnsi="宋体" w:eastAsia="宋体" w:cs="宋体"/>
              </w:rPr>
            </w:pPr>
            <w:r>
              <w:rPr>
                <w:rFonts w:hint="eastAsia" w:ascii="宋体" w:hAnsi="宋体" w:eastAsia="宋体" w:cs="宋体"/>
                <w:color w:val="000000" w:themeColor="text1"/>
                <w:lang w:val="en-US" w:eastAsia="zh-CN"/>
                <w14:textFill>
                  <w14:solidFill>
                    <w14:schemeClr w14:val="tx1"/>
                  </w14:solidFill>
                </w14:textFill>
              </w:rPr>
              <w:t>6、网上投标方法：具体步骤请参照网站首页“使用帮助”。</w:t>
            </w:r>
          </w:p>
        </w:tc>
      </w:tr>
      <w:tr w14:paraId="4B7A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47" w:type="dxa"/>
            <w:vAlign w:val="center"/>
          </w:tcPr>
          <w:p w14:paraId="056C15B3">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1724" w:type="dxa"/>
            <w:vAlign w:val="center"/>
          </w:tcPr>
          <w:p w14:paraId="6888863A">
            <w:pPr>
              <w:jc w:val="center"/>
              <w:rPr>
                <w:rFonts w:hint="eastAsia"/>
              </w:rPr>
            </w:pPr>
            <w:r>
              <w:rPr>
                <w:rFonts w:hint="eastAsia"/>
              </w:rPr>
              <w:t>是否接受联合体投标</w:t>
            </w:r>
          </w:p>
        </w:tc>
        <w:tc>
          <w:tcPr>
            <w:tcW w:w="7150" w:type="dxa"/>
            <w:vAlign w:val="center"/>
          </w:tcPr>
          <w:p w14:paraId="449C451A">
            <w:pPr>
              <w:rPr>
                <w:rFonts w:hint="eastAsia"/>
              </w:rPr>
            </w:pPr>
            <w:r>
              <w:rPr>
                <w:rFonts w:hint="eastAsia"/>
              </w:rPr>
              <w:t>不接受联合体</w:t>
            </w:r>
          </w:p>
        </w:tc>
      </w:tr>
      <w:tr w14:paraId="0279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747" w:type="dxa"/>
            <w:vAlign w:val="center"/>
          </w:tcPr>
          <w:p w14:paraId="78FE435B">
            <w:pPr>
              <w:pStyle w:val="73"/>
              <w:numPr>
                <w:ilvl w:val="0"/>
                <w:numId w:val="0"/>
              </w:numPr>
              <w:ind w:leftChars="0"/>
              <w:jc w:val="center"/>
              <w:rPr>
                <w:rFonts w:hint="default" w:ascii="宋体" w:hAnsi="宋体" w:eastAsia="宋体" w:cs="宋体"/>
                <w:sz w:val="24"/>
                <w:szCs w:val="24"/>
                <w:lang w:val="en-US" w:eastAsia="zh-CN"/>
              </w:rPr>
            </w:pPr>
            <w:bookmarkStart w:id="53" w:name="OLE_LINK17" w:colFirst="1" w:colLast="2"/>
            <w:r>
              <w:rPr>
                <w:rFonts w:hint="eastAsia" w:ascii="宋体" w:hAnsi="宋体" w:cs="宋体"/>
                <w:sz w:val="24"/>
                <w:szCs w:val="24"/>
                <w:lang w:val="en-US" w:eastAsia="zh-CN"/>
              </w:rPr>
              <w:t>19</w:t>
            </w:r>
          </w:p>
        </w:tc>
        <w:tc>
          <w:tcPr>
            <w:tcW w:w="1724" w:type="dxa"/>
            <w:vAlign w:val="center"/>
          </w:tcPr>
          <w:p w14:paraId="2D49522F">
            <w:pPr>
              <w:numPr>
                <w:ilvl w:val="0"/>
                <w:numId w:val="0"/>
              </w:numPr>
              <w:jc w:val="center"/>
              <w:rPr>
                <w:rFonts w:hint="default" w:ascii="宋体" w:hAnsi="宋体" w:eastAsia="宋体" w:cs="宋体"/>
                <w:lang w:val="en-US" w:eastAsia="zh-CN"/>
              </w:rPr>
            </w:pPr>
            <w:r>
              <w:rPr>
                <w:rFonts w:hint="eastAsia" w:ascii="宋体" w:hAnsi="宋体" w:eastAsia="宋体" w:cs="宋体"/>
                <w:lang w:val="en-US" w:eastAsia="zh-CN"/>
              </w:rPr>
              <w:t>投标文件</w:t>
            </w:r>
          </w:p>
        </w:tc>
        <w:tc>
          <w:tcPr>
            <w:tcW w:w="7150" w:type="dxa"/>
            <w:vAlign w:val="top"/>
          </w:tcPr>
          <w:p w14:paraId="7F316E90">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1.线上开标：投标人须登录甘肃智慧阳光采购平台进行投标和兰石分平台开标活动，务必在开标前完成注册并获得投标资格，</w:t>
            </w:r>
            <w:r>
              <w:rPr>
                <w:rFonts w:hint="eastAsia" w:ascii="宋体" w:hAnsi="宋体" w:eastAsia="宋体" w:cs="宋体"/>
                <w:b/>
                <w:bCs/>
                <w:lang w:val="en-US" w:eastAsia="zh-CN"/>
              </w:rPr>
              <w:t>投标文件加盖公章并扫描上传。</w:t>
            </w:r>
            <w:r>
              <w:rPr>
                <w:rFonts w:hint="eastAsia" w:ascii="宋体" w:hAnsi="宋体" w:eastAsia="宋体" w:cs="宋体"/>
                <w:lang w:val="en-US" w:eastAsia="zh-CN"/>
              </w:rPr>
              <w:t xml:space="preserve"> </w:t>
            </w:r>
          </w:p>
          <w:p w14:paraId="349F9F26">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2.线下现场开标：投标人须提供投标文件（纸质版）。</w:t>
            </w:r>
            <w:r>
              <w:rPr>
                <w:rFonts w:hint="eastAsia" w:ascii="宋体" w:hAnsi="宋体" w:eastAsia="宋体" w:cs="宋体"/>
                <w:b/>
                <w:bCs/>
                <w:lang w:val="en-US" w:eastAsia="zh-CN"/>
              </w:rPr>
              <w:t>纸质投标文件的商务和技术部分必须分别装订，正本份数：一份；副本份数：二份；电子档份数：一份（U盘）</w:t>
            </w:r>
          </w:p>
        </w:tc>
      </w:tr>
      <w:bookmarkEnd w:id="53"/>
      <w:tr w14:paraId="238D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47" w:type="dxa"/>
            <w:vAlign w:val="center"/>
          </w:tcPr>
          <w:p w14:paraId="2B753D99">
            <w:pPr>
              <w:pStyle w:val="73"/>
              <w:numPr>
                <w:ilvl w:val="0"/>
                <w:numId w:val="0"/>
              </w:numPr>
              <w:ind w:left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w:t>
            </w:r>
          </w:p>
        </w:tc>
        <w:tc>
          <w:tcPr>
            <w:tcW w:w="1724" w:type="dxa"/>
            <w:vAlign w:val="center"/>
          </w:tcPr>
          <w:p w14:paraId="0FC37880">
            <w:pPr>
              <w:ind w:firstLine="240" w:firstLineChars="100"/>
              <w:jc w:val="center"/>
              <w:rPr>
                <w:rFonts w:hint="eastAsia"/>
                <w:lang w:val="en-US" w:eastAsia="zh-CN"/>
              </w:rPr>
            </w:pPr>
            <w:r>
              <w:rPr>
                <w:rFonts w:hint="eastAsia"/>
                <w:lang w:val="en-US" w:eastAsia="zh-CN"/>
              </w:rPr>
              <w:t>其他</w:t>
            </w:r>
          </w:p>
        </w:tc>
        <w:tc>
          <w:tcPr>
            <w:tcW w:w="7150" w:type="dxa"/>
            <w:vAlign w:val="center"/>
          </w:tcPr>
          <w:p w14:paraId="2C96D3F9">
            <w:pPr>
              <w:tabs>
                <w:tab w:val="left" w:pos="3675"/>
              </w:tabs>
              <w:spacing w:line="336" w:lineRule="auto"/>
              <w:rPr>
                <w:rFonts w:hint="eastAsia" w:ascii="宋体" w:hAnsi="宋体" w:eastAsia="宋体" w:cs="宋体"/>
                <w:sz w:val="24"/>
              </w:rPr>
            </w:pPr>
            <w:r>
              <w:rPr>
                <w:rFonts w:hint="eastAsia" w:ascii="宋体" w:hAnsi="宋体" w:eastAsia="宋体" w:cs="宋体"/>
                <w:sz w:val="24"/>
              </w:rPr>
              <w:t>有可能导致废标的原因：</w:t>
            </w:r>
          </w:p>
          <w:p w14:paraId="41619DC0">
            <w:pPr>
              <w:tabs>
                <w:tab w:val="left" w:pos="3675"/>
              </w:tabs>
              <w:spacing w:line="336" w:lineRule="auto"/>
              <w:rPr>
                <w:rFonts w:hint="eastAsia" w:ascii="宋体" w:hAnsi="宋体" w:eastAsia="宋体" w:cs="宋体"/>
                <w:sz w:val="24"/>
              </w:rPr>
            </w:pPr>
            <w:r>
              <w:rPr>
                <w:rFonts w:hint="eastAsia" w:cs="宋体"/>
                <w:sz w:val="24"/>
                <w:lang w:val="en-US" w:eastAsia="zh-CN"/>
              </w:rPr>
              <w:t>1.</w:t>
            </w:r>
            <w:r>
              <w:rPr>
                <w:rFonts w:hint="eastAsia" w:ascii="宋体" w:hAnsi="宋体" w:eastAsia="宋体" w:cs="宋体"/>
                <w:sz w:val="24"/>
              </w:rPr>
              <w:t>凡未提交投标保证金或投标保证金金额不足；</w:t>
            </w:r>
          </w:p>
          <w:p w14:paraId="31D1F488">
            <w:pPr>
              <w:tabs>
                <w:tab w:val="left" w:pos="3675"/>
              </w:tabs>
              <w:spacing w:line="336" w:lineRule="auto"/>
              <w:rPr>
                <w:rFonts w:hint="eastAsia" w:ascii="宋体" w:hAnsi="宋体" w:eastAsia="宋体" w:cs="宋体"/>
                <w:sz w:val="24"/>
              </w:rPr>
            </w:pPr>
            <w:r>
              <w:rPr>
                <w:rFonts w:hint="eastAsia" w:cs="宋体"/>
                <w:sz w:val="24"/>
                <w:lang w:val="en-US" w:eastAsia="zh-CN"/>
              </w:rPr>
              <w:t>2.</w:t>
            </w:r>
            <w:r>
              <w:rPr>
                <w:rFonts w:hint="eastAsia" w:ascii="宋体" w:hAnsi="宋体" w:eastAsia="宋体" w:cs="宋体"/>
                <w:sz w:val="24"/>
              </w:rPr>
              <w:t>投标人不接受计算错误而修正后的价格；</w:t>
            </w:r>
          </w:p>
          <w:p w14:paraId="516C3787">
            <w:pPr>
              <w:tabs>
                <w:tab w:val="left" w:pos="3675"/>
              </w:tabs>
              <w:spacing w:line="336" w:lineRule="auto"/>
              <w:rPr>
                <w:rFonts w:hint="eastAsia" w:ascii="宋体" w:hAnsi="宋体" w:eastAsia="宋体" w:cs="宋体"/>
                <w:sz w:val="24"/>
              </w:rPr>
            </w:pPr>
            <w:r>
              <w:rPr>
                <w:rFonts w:hint="eastAsia" w:cs="宋体"/>
                <w:sz w:val="24"/>
                <w:lang w:val="en-US" w:eastAsia="zh-CN"/>
              </w:rPr>
              <w:t>3.</w:t>
            </w:r>
            <w:r>
              <w:rPr>
                <w:rFonts w:hint="eastAsia" w:ascii="宋体" w:hAnsi="宋体" w:eastAsia="宋体" w:cs="宋体"/>
                <w:sz w:val="24"/>
              </w:rPr>
              <w:t>确有技术偏离，但未如实填写技术偏离表；</w:t>
            </w:r>
          </w:p>
          <w:p w14:paraId="2DB41218">
            <w:pPr>
              <w:tabs>
                <w:tab w:val="left" w:pos="3675"/>
              </w:tabs>
              <w:spacing w:line="336" w:lineRule="auto"/>
              <w:rPr>
                <w:rFonts w:hint="eastAsia" w:ascii="宋体" w:hAnsi="宋体" w:eastAsia="宋体" w:cs="宋体"/>
                <w:sz w:val="24"/>
              </w:rPr>
            </w:pPr>
            <w:r>
              <w:rPr>
                <w:rFonts w:hint="eastAsia" w:cs="宋体"/>
                <w:sz w:val="24"/>
                <w:lang w:val="en-US" w:eastAsia="zh-CN"/>
              </w:rPr>
              <w:t>4.</w:t>
            </w:r>
            <w:r>
              <w:rPr>
                <w:rFonts w:hint="eastAsia" w:ascii="宋体" w:hAnsi="宋体" w:eastAsia="宋体" w:cs="宋体"/>
                <w:sz w:val="24"/>
              </w:rPr>
              <w:t>投标内容与实际情况有出入；</w:t>
            </w:r>
          </w:p>
          <w:p w14:paraId="50E979BB">
            <w:pPr>
              <w:tabs>
                <w:tab w:val="left" w:pos="3675"/>
              </w:tabs>
              <w:spacing w:line="336" w:lineRule="auto"/>
              <w:rPr>
                <w:rFonts w:hint="eastAsia" w:ascii="宋体" w:hAnsi="宋体" w:eastAsia="宋体" w:cs="宋体"/>
                <w:sz w:val="24"/>
              </w:rPr>
            </w:pPr>
            <w:r>
              <w:rPr>
                <w:rFonts w:hint="eastAsia" w:cs="宋体"/>
                <w:sz w:val="24"/>
                <w:lang w:val="en-US" w:eastAsia="zh-CN"/>
              </w:rPr>
              <w:t>5.</w:t>
            </w:r>
            <w:r>
              <w:rPr>
                <w:rFonts w:hint="eastAsia" w:ascii="宋体" w:hAnsi="宋体" w:eastAsia="宋体" w:cs="宋体"/>
                <w:sz w:val="24"/>
              </w:rPr>
              <w:t>没有实质上响应招标文件的要求。</w:t>
            </w:r>
          </w:p>
          <w:p w14:paraId="46DD705E">
            <w:pPr>
              <w:rPr>
                <w:rFonts w:hint="eastAsia" w:ascii="宋体" w:hAnsi="宋体" w:eastAsia="宋体" w:cs="宋体"/>
                <w:sz w:val="24"/>
              </w:rPr>
            </w:pPr>
            <w:r>
              <w:rPr>
                <w:rFonts w:hint="eastAsia" w:cs="宋体"/>
                <w:sz w:val="24"/>
                <w:lang w:val="en-US" w:eastAsia="zh-CN"/>
              </w:rPr>
              <w:t>6.</w:t>
            </w:r>
            <w:r>
              <w:rPr>
                <w:rFonts w:hint="eastAsia" w:ascii="宋体" w:hAnsi="宋体" w:eastAsia="宋体" w:cs="宋体"/>
                <w:sz w:val="24"/>
              </w:rPr>
              <w:t>商务和技术文件没有分别装订。</w:t>
            </w:r>
          </w:p>
        </w:tc>
      </w:tr>
    </w:tbl>
    <w:p w14:paraId="77C4E8AE">
      <w:pPr>
        <w:pStyle w:val="52"/>
        <w:spacing w:afterAutospacing="0"/>
        <w:rPr>
          <w:rFonts w:ascii="黑体" w:eastAsia="黑体"/>
          <w:b/>
          <w:sz w:val="28"/>
          <w:szCs w:val="28"/>
        </w:rPr>
      </w:pPr>
    </w:p>
    <w:p w14:paraId="1B9858D8">
      <w:pPr>
        <w:pStyle w:val="2"/>
        <w:numPr>
          <w:ilvl w:val="0"/>
          <w:numId w:val="0"/>
        </w:numPr>
        <w:spacing w:before="0" w:beforeAutospacing="0" w:after="0" w:afterAutospacing="0"/>
        <w:ind w:leftChars="0"/>
        <w:rPr>
          <w:rFonts w:hint="eastAsia"/>
          <w:b/>
          <w:bCs/>
          <w:lang w:val="en-US" w:eastAsia="zh-CN"/>
        </w:rPr>
      </w:pPr>
      <w:bookmarkStart w:id="54" w:name="_Toc18604"/>
    </w:p>
    <w:p w14:paraId="19179697">
      <w:pPr>
        <w:rPr>
          <w:rFonts w:hint="eastAsia"/>
          <w:b/>
          <w:bCs/>
          <w:lang w:val="en-US" w:eastAsia="zh-CN"/>
        </w:rPr>
      </w:pPr>
    </w:p>
    <w:p w14:paraId="53A54DB8">
      <w:pPr>
        <w:rPr>
          <w:rFonts w:hint="eastAsia"/>
          <w:b/>
          <w:bCs/>
          <w:lang w:val="en-US" w:eastAsia="zh-CN"/>
        </w:rPr>
      </w:pPr>
    </w:p>
    <w:p w14:paraId="1DD259E6">
      <w:pPr>
        <w:rPr>
          <w:rFonts w:hint="eastAsia"/>
          <w:b/>
          <w:bCs/>
          <w:lang w:val="en-US" w:eastAsia="zh-CN"/>
        </w:rPr>
      </w:pPr>
    </w:p>
    <w:p w14:paraId="20F35A10">
      <w:pPr>
        <w:rPr>
          <w:rFonts w:hint="eastAsia"/>
          <w:b/>
          <w:bCs/>
          <w:lang w:val="en-US" w:eastAsia="zh-CN"/>
        </w:rPr>
      </w:pPr>
    </w:p>
    <w:p w14:paraId="55B317D7">
      <w:pPr>
        <w:rPr>
          <w:rFonts w:hint="eastAsia"/>
          <w:b/>
          <w:bCs/>
          <w:lang w:val="en-US" w:eastAsia="zh-CN"/>
        </w:rPr>
      </w:pPr>
    </w:p>
    <w:p w14:paraId="70071FA4">
      <w:pPr>
        <w:rPr>
          <w:rFonts w:hint="eastAsia"/>
          <w:b/>
          <w:bCs/>
          <w:lang w:val="en-US" w:eastAsia="zh-CN"/>
        </w:rPr>
      </w:pPr>
    </w:p>
    <w:p w14:paraId="2205CEEC">
      <w:pPr>
        <w:rPr>
          <w:rFonts w:hint="eastAsia"/>
          <w:b/>
          <w:bCs/>
          <w:lang w:val="en-US" w:eastAsia="zh-CN"/>
        </w:rPr>
      </w:pPr>
    </w:p>
    <w:p w14:paraId="11B35FA0">
      <w:pPr>
        <w:rPr>
          <w:rFonts w:hint="eastAsia"/>
          <w:b/>
          <w:bCs/>
          <w:lang w:val="en-US" w:eastAsia="zh-CN"/>
        </w:rPr>
      </w:pPr>
    </w:p>
    <w:p w14:paraId="77B8C3B3">
      <w:pPr>
        <w:rPr>
          <w:rFonts w:hint="eastAsia"/>
          <w:b/>
          <w:bCs/>
          <w:lang w:val="en-US" w:eastAsia="zh-CN"/>
        </w:rPr>
      </w:pPr>
    </w:p>
    <w:p w14:paraId="17117FDF">
      <w:pPr>
        <w:rPr>
          <w:rFonts w:hint="eastAsia"/>
          <w:b/>
          <w:bCs/>
          <w:lang w:val="en-US" w:eastAsia="zh-CN"/>
        </w:rPr>
      </w:pPr>
    </w:p>
    <w:p w14:paraId="4F0B4195">
      <w:pPr>
        <w:rPr>
          <w:rFonts w:hint="eastAsia"/>
          <w:b/>
          <w:bCs/>
          <w:lang w:val="en-US" w:eastAsia="zh-CN"/>
        </w:rPr>
      </w:pPr>
    </w:p>
    <w:p w14:paraId="45CDA877">
      <w:pPr>
        <w:rPr>
          <w:rFonts w:hint="eastAsia"/>
          <w:b/>
          <w:bCs/>
          <w:lang w:val="en-US" w:eastAsia="zh-CN"/>
        </w:rPr>
      </w:pPr>
    </w:p>
    <w:p w14:paraId="16DFED22">
      <w:pPr>
        <w:pStyle w:val="2"/>
        <w:numPr>
          <w:ilvl w:val="0"/>
          <w:numId w:val="0"/>
        </w:numPr>
        <w:spacing w:before="0" w:beforeAutospacing="0" w:after="0" w:afterAutospacing="0"/>
        <w:ind w:leftChars="0"/>
        <w:jc w:val="center"/>
        <w:rPr>
          <w:rFonts w:hint="eastAsia"/>
          <w:b/>
          <w:bCs/>
          <w:sz w:val="44"/>
          <w:szCs w:val="44"/>
          <w:lang w:val="en-US" w:eastAsia="zh-CN"/>
        </w:rPr>
      </w:pPr>
      <w:bookmarkStart w:id="55" w:name="_Toc19540"/>
      <w:bookmarkStart w:id="56" w:name="_Toc25751"/>
    </w:p>
    <w:p w14:paraId="49F30656">
      <w:pPr>
        <w:pStyle w:val="2"/>
        <w:numPr>
          <w:ilvl w:val="0"/>
          <w:numId w:val="0"/>
        </w:numPr>
        <w:spacing w:before="0" w:beforeAutospacing="0" w:after="0" w:afterAutospacing="0"/>
        <w:ind w:leftChars="0"/>
        <w:jc w:val="center"/>
        <w:rPr>
          <w:rFonts w:hint="eastAsia"/>
          <w:b/>
          <w:bCs/>
          <w:sz w:val="44"/>
          <w:szCs w:val="44"/>
        </w:rPr>
      </w:pPr>
      <w:bookmarkStart w:id="57" w:name="_Toc18499"/>
      <w:r>
        <w:rPr>
          <w:rFonts w:hint="eastAsia"/>
          <w:b/>
          <w:bCs/>
          <w:sz w:val="44"/>
          <w:szCs w:val="44"/>
          <w:lang w:val="en-US" w:eastAsia="zh-CN"/>
        </w:rPr>
        <w:t xml:space="preserve">第三章  </w:t>
      </w:r>
      <w:r>
        <w:rPr>
          <w:rFonts w:hint="eastAsia"/>
          <w:b/>
          <w:bCs/>
          <w:sz w:val="44"/>
          <w:szCs w:val="44"/>
        </w:rPr>
        <w:t>投标人须知</w:t>
      </w:r>
      <w:bookmarkEnd w:id="54"/>
      <w:bookmarkEnd w:id="55"/>
      <w:bookmarkEnd w:id="56"/>
      <w:bookmarkEnd w:id="57"/>
    </w:p>
    <w:p w14:paraId="32DC14CA">
      <w:pPr>
        <w:spacing w:beforeAutospacing="0" w:line="360" w:lineRule="auto"/>
        <w:ind w:firstLine="480" w:firstLineChars="200"/>
        <w:rPr>
          <w:rFonts w:hint="eastAsia" w:ascii="黑体" w:eastAsia="黑体"/>
          <w:bCs/>
        </w:rPr>
      </w:pPr>
      <w:r>
        <w:rPr>
          <w:rFonts w:hint="eastAsia" w:ascii="黑体" w:eastAsia="黑体"/>
          <w:bCs/>
        </w:rPr>
        <w:t>（一）遵循原则：</w:t>
      </w:r>
    </w:p>
    <w:p w14:paraId="61A7A485">
      <w:pPr>
        <w:spacing w:line="360" w:lineRule="auto"/>
        <w:ind w:firstLine="480" w:firstLineChars="200"/>
        <w:rPr>
          <w:rFonts w:hint="eastAsia" w:ascii="黑体" w:eastAsia="黑体"/>
          <w:bCs/>
        </w:rPr>
      </w:pPr>
      <w:r>
        <w:rPr>
          <w:rFonts w:hint="eastAsia"/>
          <w:bCs/>
        </w:rPr>
        <w:t>公开透明原则、公平竞争原则、公正原则和诚实信用原则。</w:t>
      </w:r>
    </w:p>
    <w:p w14:paraId="2B7A8916">
      <w:pPr>
        <w:numPr>
          <w:ilvl w:val="0"/>
          <w:numId w:val="9"/>
        </w:numPr>
        <w:spacing w:line="360" w:lineRule="auto"/>
        <w:rPr>
          <w:rFonts w:hint="eastAsia" w:ascii="黑体" w:eastAsia="黑体"/>
          <w:bCs/>
        </w:rPr>
      </w:pPr>
      <w:r>
        <w:rPr>
          <w:rFonts w:hint="eastAsia" w:ascii="黑体" w:eastAsia="黑体"/>
          <w:bCs/>
          <w:lang w:eastAsia="zh-CN"/>
        </w:rPr>
        <w:t>谈判</w:t>
      </w:r>
      <w:r>
        <w:rPr>
          <w:rFonts w:hint="eastAsia" w:ascii="黑体" w:eastAsia="黑体"/>
          <w:bCs/>
        </w:rPr>
        <w:t>文件：</w:t>
      </w:r>
    </w:p>
    <w:p w14:paraId="063918F0">
      <w:pPr>
        <w:numPr>
          <w:ilvl w:val="0"/>
          <w:numId w:val="10"/>
        </w:numPr>
        <w:tabs>
          <w:tab w:val="left" w:pos="-1260"/>
          <w:tab w:val="left" w:pos="525"/>
          <w:tab w:val="left" w:pos="945"/>
          <w:tab w:val="clear" w:pos="552"/>
        </w:tabs>
        <w:spacing w:line="360" w:lineRule="auto"/>
        <w:ind w:left="0" w:firstLine="523" w:firstLineChars="218"/>
        <w:rPr>
          <w:rFonts w:hint="eastAsia"/>
          <w:bCs/>
        </w:rPr>
      </w:pPr>
      <w:r>
        <w:rPr>
          <w:rFonts w:hint="eastAsia"/>
          <w:bCs/>
          <w:lang w:eastAsia="zh-CN"/>
        </w:rPr>
        <w:t>谈判</w:t>
      </w:r>
      <w:r>
        <w:rPr>
          <w:rFonts w:hint="eastAsia"/>
          <w:bCs/>
        </w:rPr>
        <w:t>文件包括本文件目录所列全部内容，投标人应仔细阅读，并在投标文件中充分响应</w:t>
      </w:r>
      <w:r>
        <w:rPr>
          <w:rFonts w:hint="eastAsia"/>
          <w:bCs/>
          <w:lang w:eastAsia="zh-CN"/>
        </w:rPr>
        <w:t>谈判</w:t>
      </w:r>
      <w:r>
        <w:rPr>
          <w:rFonts w:hint="eastAsia"/>
          <w:bCs/>
        </w:rPr>
        <w:t>文件的所有要求。</w:t>
      </w:r>
    </w:p>
    <w:p w14:paraId="206BD16E">
      <w:pPr>
        <w:numPr>
          <w:ilvl w:val="0"/>
          <w:numId w:val="10"/>
        </w:numPr>
        <w:tabs>
          <w:tab w:val="left" w:pos="0"/>
          <w:tab w:val="left" w:pos="525"/>
          <w:tab w:val="left" w:pos="945"/>
          <w:tab w:val="clear" w:pos="552"/>
        </w:tabs>
        <w:spacing w:line="360" w:lineRule="auto"/>
        <w:ind w:left="0" w:firstLine="523" w:firstLineChars="218"/>
        <w:rPr>
          <w:rFonts w:hint="eastAsia"/>
          <w:bCs/>
        </w:rPr>
      </w:pPr>
      <w:r>
        <w:rPr>
          <w:rFonts w:hint="eastAsia"/>
          <w:bCs/>
        </w:rPr>
        <w:t>投标人应按</w:t>
      </w:r>
      <w:r>
        <w:rPr>
          <w:rFonts w:hint="eastAsia"/>
          <w:bCs/>
          <w:lang w:eastAsia="zh-CN"/>
        </w:rPr>
        <w:t>谈判</w:t>
      </w:r>
      <w:r>
        <w:rPr>
          <w:rFonts w:hint="eastAsia"/>
          <w:bCs/>
        </w:rPr>
        <w:t>文件要求提交全部资料并对</w:t>
      </w:r>
      <w:r>
        <w:rPr>
          <w:rFonts w:hint="eastAsia"/>
          <w:bCs/>
          <w:lang w:eastAsia="zh-CN"/>
        </w:rPr>
        <w:t>谈判</w:t>
      </w:r>
      <w:r>
        <w:rPr>
          <w:rFonts w:hint="eastAsia"/>
          <w:bCs/>
        </w:rPr>
        <w:t>文件各项内容做出实质性响应，否则投标无效。</w:t>
      </w:r>
    </w:p>
    <w:p w14:paraId="4B4854EF">
      <w:pPr>
        <w:tabs>
          <w:tab w:val="left" w:pos="630"/>
        </w:tabs>
        <w:spacing w:line="360" w:lineRule="auto"/>
        <w:ind w:firstLine="480" w:firstLineChars="200"/>
        <w:rPr>
          <w:rFonts w:hint="eastAsia" w:ascii="黑体" w:eastAsia="黑体"/>
          <w:bCs/>
        </w:rPr>
      </w:pPr>
      <w:r>
        <w:rPr>
          <w:rFonts w:hint="eastAsia" w:ascii="黑体" w:eastAsia="黑体"/>
          <w:bCs/>
        </w:rPr>
        <w:t>（三）</w:t>
      </w:r>
      <w:r>
        <w:rPr>
          <w:rFonts w:hint="eastAsia" w:ascii="黑体" w:eastAsia="黑体"/>
          <w:bCs/>
          <w:lang w:eastAsia="zh-CN"/>
        </w:rPr>
        <w:t>谈判</w:t>
      </w:r>
      <w:r>
        <w:rPr>
          <w:rFonts w:hint="eastAsia" w:ascii="黑体" w:eastAsia="黑体"/>
          <w:bCs/>
        </w:rPr>
        <w:t>文件的澄清与修改：</w:t>
      </w:r>
    </w:p>
    <w:p w14:paraId="74F33717">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rPr>
        <w:t>投标人获取</w:t>
      </w:r>
      <w:r>
        <w:rPr>
          <w:rFonts w:hint="eastAsia"/>
          <w:bCs/>
          <w:lang w:eastAsia="zh-CN"/>
        </w:rPr>
        <w:t>谈判</w:t>
      </w:r>
      <w:r>
        <w:rPr>
          <w:rFonts w:hint="eastAsia"/>
          <w:bCs/>
        </w:rPr>
        <w:t>文件后，应仔细阅读</w:t>
      </w:r>
      <w:r>
        <w:rPr>
          <w:rFonts w:hint="eastAsia"/>
          <w:bCs/>
          <w:lang w:eastAsia="zh-CN"/>
        </w:rPr>
        <w:t>谈判</w:t>
      </w:r>
      <w:r>
        <w:rPr>
          <w:rFonts w:hint="eastAsia"/>
          <w:bCs/>
        </w:rPr>
        <w:t>文件的全部内容。如有疑问，应及时向招标人提出，以便澄清。</w:t>
      </w:r>
    </w:p>
    <w:p w14:paraId="024304C1">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rPr>
        <w:t>招标人不集中组织答疑，实行书面提疑和答疑。投标人若对</w:t>
      </w:r>
      <w:r>
        <w:rPr>
          <w:rFonts w:hint="eastAsia"/>
          <w:bCs/>
          <w:lang w:eastAsia="zh-CN"/>
        </w:rPr>
        <w:t>谈判</w:t>
      </w:r>
      <w:r>
        <w:rPr>
          <w:rFonts w:hint="eastAsia"/>
          <w:bCs/>
        </w:rPr>
        <w:t>文件有疑问，需要招标人予以澄清，应以书面的形式提出。按</w:t>
      </w:r>
      <w:r>
        <w:rPr>
          <w:rFonts w:hint="eastAsia"/>
          <w:b/>
        </w:rPr>
        <w:t>投标人须知前附表</w:t>
      </w:r>
      <w:r>
        <w:rPr>
          <w:rFonts w:hint="eastAsia"/>
          <w:bCs/>
        </w:rPr>
        <w:t>规定时限前停止提疑。</w:t>
      </w:r>
    </w:p>
    <w:p w14:paraId="3FB3FCDE">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rPr>
        <w:t>招标人将按</w:t>
      </w:r>
      <w:r>
        <w:rPr>
          <w:rFonts w:hint="eastAsia"/>
          <w:b/>
        </w:rPr>
        <w:t>投标人须知前附表</w:t>
      </w:r>
      <w:r>
        <w:rPr>
          <w:rFonts w:hint="eastAsia"/>
          <w:bCs/>
        </w:rPr>
        <w:t>规定时限前以书面形式解答</w:t>
      </w:r>
      <w:r>
        <w:rPr>
          <w:rFonts w:hint="eastAsia"/>
          <w:bCs/>
          <w:lang w:eastAsia="zh-CN"/>
        </w:rPr>
        <w:t>谈判</w:t>
      </w:r>
      <w:r>
        <w:rPr>
          <w:rFonts w:hint="eastAsia"/>
          <w:bCs/>
        </w:rPr>
        <w:t>文件的疑问，并形成</w:t>
      </w:r>
      <w:r>
        <w:rPr>
          <w:rFonts w:hint="eastAsia"/>
          <w:bCs/>
          <w:lang w:eastAsia="zh-CN"/>
        </w:rPr>
        <w:t>谈判</w:t>
      </w:r>
      <w:r>
        <w:rPr>
          <w:rFonts w:hint="eastAsia"/>
          <w:bCs/>
        </w:rPr>
        <w:t>文件的澄清答疑。</w:t>
      </w:r>
      <w:r>
        <w:rPr>
          <w:rFonts w:hint="eastAsia"/>
          <w:bCs/>
          <w:lang w:eastAsia="zh-CN"/>
        </w:rPr>
        <w:t>谈判</w:t>
      </w:r>
      <w:r>
        <w:rPr>
          <w:rFonts w:hint="eastAsia"/>
          <w:bCs/>
        </w:rPr>
        <w:t>文件的澄清答疑将分发所有投标人，但不指明来源。</w:t>
      </w:r>
    </w:p>
    <w:p w14:paraId="4636B2A8">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lang w:eastAsia="zh-CN"/>
        </w:rPr>
        <w:t>谈判</w:t>
      </w:r>
      <w:r>
        <w:rPr>
          <w:rFonts w:hint="eastAsia"/>
          <w:bCs/>
        </w:rPr>
        <w:t>文件发布后，在</w:t>
      </w:r>
      <w:r>
        <w:rPr>
          <w:rFonts w:hint="eastAsia"/>
          <w:b/>
        </w:rPr>
        <w:t>投标人须知前附表</w:t>
      </w:r>
      <w:r>
        <w:rPr>
          <w:rFonts w:hint="eastAsia"/>
          <w:bCs/>
        </w:rPr>
        <w:t>规定时限的任何时候，确需要变更</w:t>
      </w:r>
      <w:r>
        <w:rPr>
          <w:rFonts w:hint="eastAsia"/>
          <w:bCs/>
          <w:lang w:eastAsia="zh-CN"/>
        </w:rPr>
        <w:t>谈判</w:t>
      </w:r>
      <w:r>
        <w:rPr>
          <w:rFonts w:hint="eastAsia"/>
          <w:bCs/>
        </w:rPr>
        <w:t>文件内容的，招标人可主动或在解答投标人提出的澄清答疑时对</w:t>
      </w:r>
      <w:r>
        <w:rPr>
          <w:rFonts w:hint="eastAsia"/>
          <w:bCs/>
          <w:lang w:eastAsia="zh-CN"/>
        </w:rPr>
        <w:t>谈判</w:t>
      </w:r>
      <w:r>
        <w:rPr>
          <w:rFonts w:hint="eastAsia"/>
          <w:bCs/>
        </w:rPr>
        <w:t>文件进行修改，并同时报产权交易所备案。</w:t>
      </w:r>
      <w:r>
        <w:rPr>
          <w:rFonts w:hint="eastAsia"/>
          <w:bCs/>
          <w:lang w:eastAsia="zh-CN"/>
        </w:rPr>
        <w:t>谈判</w:t>
      </w:r>
      <w:r>
        <w:rPr>
          <w:rFonts w:hint="eastAsia"/>
          <w:bCs/>
        </w:rPr>
        <w:t>文件的修改以答疑形式将分发所有投标人，</w:t>
      </w:r>
      <w:r>
        <w:rPr>
          <w:rFonts w:hint="eastAsia"/>
          <w:bCs/>
          <w:lang w:eastAsia="zh-CN"/>
        </w:rPr>
        <w:t>谈判</w:t>
      </w:r>
      <w:r>
        <w:rPr>
          <w:rFonts w:hint="eastAsia"/>
          <w:bCs/>
        </w:rPr>
        <w:t>文件的答疑作为</w:t>
      </w:r>
      <w:r>
        <w:rPr>
          <w:rFonts w:hint="eastAsia"/>
          <w:bCs/>
          <w:lang w:eastAsia="zh-CN"/>
        </w:rPr>
        <w:t>谈判</w:t>
      </w:r>
      <w:r>
        <w:rPr>
          <w:rFonts w:hint="eastAsia"/>
          <w:bCs/>
        </w:rPr>
        <w:t>文件的组成部分，并具有约束力。</w:t>
      </w:r>
    </w:p>
    <w:p w14:paraId="19F2E57D">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lang w:eastAsia="zh-CN"/>
        </w:rPr>
        <w:t>谈判</w:t>
      </w:r>
      <w:r>
        <w:rPr>
          <w:rFonts w:hint="eastAsia"/>
          <w:bCs/>
        </w:rPr>
        <w:t>文件的答疑分发所有投标人后，若投标人对</w:t>
      </w:r>
      <w:r>
        <w:rPr>
          <w:rFonts w:hint="eastAsia"/>
          <w:bCs/>
          <w:lang w:eastAsia="zh-CN"/>
        </w:rPr>
        <w:t>谈判</w:t>
      </w:r>
      <w:r>
        <w:rPr>
          <w:rFonts w:hint="eastAsia"/>
          <w:bCs/>
        </w:rPr>
        <w:t>文件的答疑有需要进一步澄清的，应在24小时内以书面的形式提出。</w:t>
      </w:r>
    </w:p>
    <w:p w14:paraId="08A5F5CF">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rPr>
        <w:t>为使投标人在编写投标文件时有充分时间对</w:t>
      </w:r>
      <w:r>
        <w:rPr>
          <w:rFonts w:hint="eastAsia"/>
          <w:bCs/>
          <w:lang w:eastAsia="zh-CN"/>
        </w:rPr>
        <w:t>谈判</w:t>
      </w:r>
      <w:r>
        <w:rPr>
          <w:rFonts w:hint="eastAsia"/>
          <w:bCs/>
        </w:rPr>
        <w:t>文件的答疑部分进行研究，招标人可以酌情延长递交投标文件的截止日期，具体时间将在</w:t>
      </w:r>
      <w:r>
        <w:rPr>
          <w:rFonts w:hint="eastAsia"/>
          <w:bCs/>
          <w:lang w:eastAsia="zh-CN"/>
        </w:rPr>
        <w:t>谈判</w:t>
      </w:r>
      <w:r>
        <w:rPr>
          <w:rFonts w:hint="eastAsia"/>
          <w:bCs/>
        </w:rPr>
        <w:t>文件的答疑中明确。</w:t>
      </w:r>
    </w:p>
    <w:p w14:paraId="39453181">
      <w:pPr>
        <w:numPr>
          <w:ilvl w:val="0"/>
          <w:numId w:val="11"/>
        </w:numPr>
        <w:tabs>
          <w:tab w:val="left" w:pos="525"/>
          <w:tab w:val="left" w:pos="945"/>
          <w:tab w:val="clear" w:pos="898"/>
        </w:tabs>
        <w:spacing w:line="360" w:lineRule="auto"/>
        <w:ind w:left="1" w:firstLine="523" w:firstLineChars="218"/>
        <w:rPr>
          <w:rFonts w:hint="eastAsia"/>
          <w:bCs/>
        </w:rPr>
      </w:pPr>
      <w:r>
        <w:rPr>
          <w:rFonts w:hint="eastAsia"/>
          <w:bCs/>
        </w:rPr>
        <w:t>当</w:t>
      </w:r>
      <w:r>
        <w:rPr>
          <w:rFonts w:hint="eastAsia"/>
          <w:bCs/>
          <w:lang w:eastAsia="zh-CN"/>
        </w:rPr>
        <w:t>谈判</w:t>
      </w:r>
      <w:r>
        <w:rPr>
          <w:rFonts w:hint="eastAsia"/>
          <w:bCs/>
        </w:rPr>
        <w:t>文件、</w:t>
      </w:r>
      <w:r>
        <w:rPr>
          <w:rFonts w:hint="eastAsia"/>
          <w:bCs/>
          <w:lang w:eastAsia="zh-CN"/>
        </w:rPr>
        <w:t>谈判</w:t>
      </w:r>
      <w:r>
        <w:rPr>
          <w:rFonts w:hint="eastAsia"/>
          <w:bCs/>
        </w:rPr>
        <w:t>文件的答疑内容相互矛盾时，若无其他特别说明一般均以最后发出的文件为准。</w:t>
      </w:r>
    </w:p>
    <w:p w14:paraId="332F47F3">
      <w:pPr>
        <w:numPr>
          <w:ilvl w:val="0"/>
          <w:numId w:val="11"/>
        </w:numPr>
        <w:tabs>
          <w:tab w:val="left" w:pos="525"/>
          <w:tab w:val="left" w:pos="945"/>
          <w:tab w:val="clear" w:pos="898"/>
        </w:tabs>
        <w:spacing w:line="360" w:lineRule="auto"/>
        <w:ind w:left="1" w:firstLine="523" w:firstLineChars="218"/>
        <w:rPr>
          <w:rFonts w:hint="eastAsia"/>
          <w:b/>
          <w:bCs w:val="0"/>
        </w:rPr>
      </w:pPr>
      <w:r>
        <w:rPr>
          <w:rFonts w:hint="eastAsia"/>
          <w:b/>
          <w:bCs w:val="0"/>
        </w:rPr>
        <w:t>投标</w:t>
      </w:r>
      <w:bookmarkStart w:id="58" w:name="OLE_LINK20"/>
      <w:r>
        <w:rPr>
          <w:rFonts w:hint="eastAsia"/>
          <w:b/>
          <w:bCs w:val="0"/>
        </w:rPr>
        <w:t>保证金必须采取电汇形式提交，不接受现金缴纳</w:t>
      </w:r>
      <w:bookmarkEnd w:id="58"/>
      <w:r>
        <w:rPr>
          <w:rFonts w:hint="eastAsia"/>
          <w:b/>
          <w:bCs w:val="0"/>
        </w:rPr>
        <w:t>。</w:t>
      </w:r>
    </w:p>
    <w:p w14:paraId="7C980C47">
      <w:pPr>
        <w:numPr>
          <w:ilvl w:val="0"/>
          <w:numId w:val="0"/>
        </w:numPr>
        <w:tabs>
          <w:tab w:val="left" w:pos="525"/>
          <w:tab w:val="left" w:pos="945"/>
        </w:tabs>
        <w:spacing w:line="360" w:lineRule="auto"/>
        <w:ind w:leftChars="218" w:firstLine="240" w:firstLineChars="100"/>
        <w:rPr>
          <w:rFonts w:hint="eastAsia"/>
          <w:bCs/>
        </w:rPr>
      </w:pPr>
      <w:r>
        <w:rPr>
          <w:rFonts w:hint="eastAsia"/>
          <w:bCs/>
        </w:rPr>
        <w:t>投标保证金收款单位：</w:t>
      </w:r>
    </w:p>
    <w:p w14:paraId="2A325082">
      <w:pPr>
        <w:numPr>
          <w:ilvl w:val="0"/>
          <w:numId w:val="0"/>
        </w:numPr>
        <w:tabs>
          <w:tab w:val="left" w:pos="525"/>
          <w:tab w:val="left" w:pos="945"/>
        </w:tabs>
        <w:spacing w:line="360" w:lineRule="auto"/>
        <w:ind w:leftChars="218" w:firstLine="240" w:firstLineChars="100"/>
        <w:rPr>
          <w:rFonts w:hint="eastAsia"/>
          <w:bCs/>
        </w:rPr>
      </w:pPr>
      <w:r>
        <w:rPr>
          <w:rFonts w:hint="eastAsia"/>
          <w:bCs/>
        </w:rPr>
        <w:t xml:space="preserve">户名：兰州兰石集团有限公司动力公司  </w:t>
      </w:r>
    </w:p>
    <w:p w14:paraId="1FE9E89F">
      <w:pPr>
        <w:numPr>
          <w:ilvl w:val="0"/>
          <w:numId w:val="0"/>
        </w:numPr>
        <w:tabs>
          <w:tab w:val="left" w:pos="525"/>
          <w:tab w:val="left" w:pos="945"/>
        </w:tabs>
        <w:spacing w:line="360" w:lineRule="auto"/>
        <w:ind w:leftChars="218" w:firstLine="240" w:firstLineChars="100"/>
        <w:rPr>
          <w:rFonts w:hint="eastAsia"/>
          <w:bCs/>
        </w:rPr>
      </w:pPr>
      <w:r>
        <w:rPr>
          <w:rFonts w:hint="eastAsia"/>
          <w:bCs/>
        </w:rPr>
        <w:t xml:space="preserve">账号：104508527409 </w:t>
      </w:r>
    </w:p>
    <w:p w14:paraId="1625469D">
      <w:pPr>
        <w:numPr>
          <w:ilvl w:val="0"/>
          <w:numId w:val="0"/>
        </w:numPr>
        <w:tabs>
          <w:tab w:val="left" w:pos="525"/>
          <w:tab w:val="left" w:pos="945"/>
        </w:tabs>
        <w:spacing w:line="360" w:lineRule="auto"/>
        <w:ind w:leftChars="218" w:firstLine="240" w:firstLineChars="100"/>
        <w:rPr>
          <w:rFonts w:hint="eastAsia"/>
          <w:bCs/>
        </w:rPr>
      </w:pPr>
      <w:r>
        <w:rPr>
          <w:rFonts w:hint="eastAsia"/>
          <w:bCs/>
        </w:rPr>
        <w:t>开户行：中国银行兰州市敦煌南路支行</w:t>
      </w:r>
    </w:p>
    <w:p w14:paraId="287A3478">
      <w:pPr>
        <w:numPr>
          <w:ilvl w:val="0"/>
          <w:numId w:val="0"/>
        </w:numPr>
        <w:tabs>
          <w:tab w:val="left" w:pos="525"/>
          <w:tab w:val="left" w:pos="945"/>
        </w:tabs>
        <w:spacing w:line="360" w:lineRule="auto"/>
        <w:ind w:leftChars="218" w:firstLine="240" w:firstLineChars="100"/>
        <w:rPr>
          <w:rFonts w:hint="eastAsia"/>
          <w:bCs/>
        </w:rPr>
      </w:pPr>
      <w:r>
        <w:rPr>
          <w:rFonts w:hint="eastAsia"/>
          <w:bCs/>
        </w:rPr>
        <w:t xml:space="preserve">行号：104821004176  </w:t>
      </w:r>
    </w:p>
    <w:p w14:paraId="5B5212F0">
      <w:pPr>
        <w:numPr>
          <w:ilvl w:val="0"/>
          <w:numId w:val="11"/>
        </w:numPr>
        <w:tabs>
          <w:tab w:val="left" w:pos="525"/>
          <w:tab w:val="left" w:pos="945"/>
          <w:tab w:val="clear" w:pos="898"/>
        </w:tabs>
        <w:spacing w:line="360" w:lineRule="auto"/>
        <w:ind w:left="1" w:firstLine="523" w:firstLineChars="218"/>
        <w:rPr>
          <w:rFonts w:hint="eastAsia"/>
          <w:bCs/>
        </w:rPr>
      </w:pPr>
      <w:r>
        <w:rPr>
          <w:rFonts w:hint="eastAsia" w:ascii="宋体" w:hAnsi="宋体" w:eastAsia="宋体" w:cs="宋体"/>
          <w:b/>
          <w:color w:val="auto"/>
          <w:sz w:val="24"/>
        </w:rPr>
        <w:t>投标保证金银行电子回单复印件必须在投标截止前单独密封与投标文件同时递交。在开标时，凡未提交投标保证金的投标，将被视为非响应性投标予以拒绝</w:t>
      </w:r>
      <w:r>
        <w:rPr>
          <w:rFonts w:hint="eastAsia" w:ascii="宋体" w:hAnsi="宋体" w:eastAsia="宋体" w:cs="宋体"/>
          <w:color w:val="auto"/>
          <w:sz w:val="24"/>
        </w:rPr>
        <w:t>。</w:t>
      </w:r>
      <w:r>
        <w:rPr>
          <w:rFonts w:hint="eastAsia"/>
          <w:bCs/>
        </w:rPr>
        <w:t>未中标的投标人的保证金，将按“投标人须知前附表”中规定的投标有效期期满后7</w:t>
      </w:r>
      <w:r>
        <w:rPr>
          <w:rFonts w:hint="eastAsia"/>
          <w:bCs/>
          <w:lang w:eastAsia="zh-CN"/>
        </w:rPr>
        <w:t>日</w:t>
      </w:r>
      <w:r>
        <w:rPr>
          <w:rFonts w:hint="eastAsia"/>
          <w:bCs/>
        </w:rPr>
        <w:t>内予以退还，不计利息。中标人的投标保证金，在中标人按规定签订正式供货合同并按要求提交了履约保证金后予以退还，不计利息。</w:t>
      </w:r>
    </w:p>
    <w:p w14:paraId="656D2DF8">
      <w:pPr>
        <w:numPr>
          <w:ilvl w:val="0"/>
          <w:numId w:val="11"/>
        </w:numPr>
        <w:tabs>
          <w:tab w:val="left" w:pos="525"/>
          <w:tab w:val="left" w:pos="945"/>
          <w:tab w:val="clear" w:pos="898"/>
        </w:tabs>
        <w:spacing w:line="360" w:lineRule="auto"/>
        <w:ind w:left="1" w:firstLine="523" w:firstLineChars="218"/>
        <w:rPr>
          <w:rFonts w:hint="eastAsia" w:ascii="宋体" w:hAnsi="宋体" w:eastAsia="宋体" w:cs="宋体"/>
          <w:bCs/>
        </w:rPr>
      </w:pPr>
      <w:r>
        <w:rPr>
          <w:rFonts w:hint="eastAsia" w:ascii="宋体" w:hAnsi="宋体" w:eastAsia="宋体" w:cs="宋体"/>
          <w:bCs/>
        </w:rPr>
        <w:t>投标有效期</w:t>
      </w:r>
    </w:p>
    <w:p w14:paraId="62D2CEA5">
      <w:pPr>
        <w:tabs>
          <w:tab w:val="left" w:pos="480"/>
          <w:tab w:val="left" w:pos="945"/>
        </w:tabs>
        <w:spacing w:line="360" w:lineRule="auto"/>
        <w:ind w:left="4" w:firstLine="518" w:firstLineChars="216"/>
        <w:rPr>
          <w:rFonts w:hint="eastAsia" w:ascii="黑体"/>
          <w:bCs/>
        </w:rPr>
      </w:pPr>
      <w:r>
        <w:rPr>
          <w:bCs/>
        </w:rPr>
        <w:t>在投标人须知前附表</w:t>
      </w:r>
      <w:r>
        <w:rPr>
          <w:rFonts w:hint="eastAsia"/>
          <w:bCs/>
        </w:rPr>
        <w:t>规定</w:t>
      </w:r>
      <w:r>
        <w:rPr>
          <w:bCs/>
        </w:rPr>
        <w:t>的投标有效期内，投标人不得要求撤销或修改其投标文件。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E35B263">
      <w:pPr>
        <w:spacing w:line="360" w:lineRule="auto"/>
        <w:ind w:firstLine="480" w:firstLineChars="200"/>
        <w:rPr>
          <w:rFonts w:hint="eastAsia"/>
          <w:bCs/>
        </w:rPr>
      </w:pPr>
      <w:r>
        <w:rPr>
          <w:rFonts w:hint="eastAsia" w:ascii="黑体" w:eastAsia="黑体"/>
          <w:bCs/>
        </w:rPr>
        <w:t>（四）投标文件的组成：</w:t>
      </w:r>
    </w:p>
    <w:p w14:paraId="58B34E13">
      <w:pPr>
        <w:tabs>
          <w:tab w:val="left" w:pos="525"/>
          <w:tab w:val="left" w:pos="945"/>
        </w:tabs>
        <w:spacing w:line="360" w:lineRule="auto"/>
        <w:ind w:firstLine="480" w:firstLineChars="200"/>
        <w:rPr>
          <w:rFonts w:hint="eastAsia"/>
          <w:bCs/>
        </w:rPr>
      </w:pPr>
      <w:r>
        <w:rPr>
          <w:rFonts w:hint="eastAsia"/>
          <w:bCs/>
        </w:rPr>
        <w:t>1.投标函</w:t>
      </w:r>
    </w:p>
    <w:p w14:paraId="7C4DBEBB">
      <w:pPr>
        <w:tabs>
          <w:tab w:val="left" w:pos="525"/>
          <w:tab w:val="left" w:pos="945"/>
        </w:tabs>
        <w:spacing w:line="360" w:lineRule="auto"/>
        <w:ind w:firstLine="480" w:firstLineChars="200"/>
        <w:rPr>
          <w:rFonts w:hint="eastAsia"/>
          <w:bCs/>
        </w:rPr>
      </w:pPr>
      <w:r>
        <w:rPr>
          <w:rFonts w:hint="eastAsia"/>
          <w:bCs/>
        </w:rPr>
        <w:t>2.关于资格的声明函</w:t>
      </w:r>
    </w:p>
    <w:p w14:paraId="3C2E6E19">
      <w:pPr>
        <w:tabs>
          <w:tab w:val="left" w:pos="525"/>
          <w:tab w:val="left" w:pos="945"/>
        </w:tabs>
        <w:spacing w:line="360" w:lineRule="auto"/>
        <w:ind w:firstLine="480" w:firstLineChars="200"/>
        <w:rPr>
          <w:rFonts w:hint="eastAsia"/>
          <w:bCs/>
        </w:rPr>
      </w:pPr>
      <w:r>
        <w:rPr>
          <w:rFonts w:hint="eastAsia"/>
          <w:bCs/>
        </w:rPr>
        <w:t>3.法定代表人身份证明书</w:t>
      </w:r>
    </w:p>
    <w:p w14:paraId="2E4A3730">
      <w:pPr>
        <w:tabs>
          <w:tab w:val="left" w:pos="525"/>
          <w:tab w:val="left" w:pos="945"/>
        </w:tabs>
        <w:spacing w:line="360" w:lineRule="auto"/>
        <w:ind w:firstLine="480" w:firstLineChars="200"/>
        <w:rPr>
          <w:rFonts w:hint="eastAsia"/>
          <w:bCs/>
        </w:rPr>
      </w:pPr>
      <w:r>
        <w:rPr>
          <w:rFonts w:hint="eastAsia"/>
          <w:bCs/>
        </w:rPr>
        <w:t>4.法定代表人授权委托书</w:t>
      </w:r>
    </w:p>
    <w:p w14:paraId="4690D7CA">
      <w:pPr>
        <w:ind w:firstLine="480" w:firstLineChars="200"/>
        <w:rPr>
          <w:rFonts w:hint="eastAsia"/>
          <w:b/>
          <w:u w:val="single"/>
        </w:rPr>
      </w:pPr>
      <w:r>
        <w:rPr>
          <w:rFonts w:hint="eastAsia"/>
          <w:b/>
        </w:rPr>
        <w:t>5.</w:t>
      </w:r>
      <w:bookmarkStart w:id="59" w:name="_Hlk88224542"/>
      <w:r>
        <w:rPr>
          <w:rFonts w:hint="eastAsia"/>
          <w:b/>
        </w:rPr>
        <w:t>资格证明文件</w:t>
      </w:r>
      <w:bookmarkEnd w:id="59"/>
      <w:r>
        <w:rPr>
          <w:rFonts w:hint="eastAsia"/>
          <w:b/>
        </w:rPr>
        <w:t>：</w:t>
      </w:r>
    </w:p>
    <w:p w14:paraId="1AB7E887">
      <w:pPr>
        <w:numPr>
          <w:ilvl w:val="0"/>
          <w:numId w:val="12"/>
        </w:numPr>
        <w:tabs>
          <w:tab w:val="left" w:pos="525"/>
          <w:tab w:val="left" w:pos="945"/>
        </w:tabs>
        <w:spacing w:line="360" w:lineRule="auto"/>
        <w:ind w:left="420"/>
        <w:rPr>
          <w:rFonts w:hint="eastAsia"/>
          <w:b/>
        </w:rPr>
      </w:pPr>
      <w:bookmarkStart w:id="60" w:name="_Hlk88224553"/>
      <w:r>
        <w:rPr>
          <w:rFonts w:hint="eastAsia"/>
          <w:b/>
        </w:rPr>
        <w:t>投标人有效期内营业执照副本(复印件加盖公章）；</w:t>
      </w:r>
    </w:p>
    <w:bookmarkEnd w:id="60"/>
    <w:p w14:paraId="71605193">
      <w:pPr>
        <w:numPr>
          <w:ilvl w:val="0"/>
          <w:numId w:val="12"/>
        </w:numPr>
        <w:tabs>
          <w:tab w:val="left" w:pos="525"/>
          <w:tab w:val="left" w:pos="945"/>
        </w:tabs>
        <w:spacing w:line="360" w:lineRule="auto"/>
        <w:ind w:left="420"/>
        <w:rPr>
          <w:rFonts w:hint="eastAsia"/>
          <w:bCs/>
          <w:lang w:val="en-US" w:eastAsia="zh-CN"/>
        </w:rPr>
      </w:pPr>
      <w:bookmarkStart w:id="61" w:name="OLE_LINK14"/>
      <w:r>
        <w:rPr>
          <w:rFonts w:hint="eastAsia"/>
          <w:bCs/>
          <w:lang w:val="en-US" w:eastAsia="zh-CN"/>
        </w:rPr>
        <w:t>供应商商业信誉良好，未被列入“信用中国”网站失信被执行人名单。（网页截图加盖公章）。</w:t>
      </w:r>
    </w:p>
    <w:p w14:paraId="4C00200A">
      <w:pPr>
        <w:numPr>
          <w:ilvl w:val="0"/>
          <w:numId w:val="12"/>
        </w:numPr>
        <w:tabs>
          <w:tab w:val="left" w:pos="525"/>
          <w:tab w:val="left" w:pos="945"/>
        </w:tabs>
        <w:spacing w:line="360" w:lineRule="auto"/>
        <w:ind w:left="420"/>
        <w:rPr>
          <w:rFonts w:hint="eastAsia"/>
          <w:bCs/>
        </w:rPr>
      </w:pPr>
      <w:bookmarkStart w:id="62" w:name="OLE_LINK28"/>
      <w:r>
        <w:rPr>
          <w:rFonts w:hint="eastAsia"/>
          <w:bCs/>
          <w:lang w:val="en-US" w:eastAsia="zh-CN"/>
        </w:rPr>
        <w:t>投标人须提供2024年或2025年度经会计师事务所或审计机构出具的审计报告（复印件加盖公章）或提供银行出具的资信证明（新成立的公司提供）。</w:t>
      </w:r>
    </w:p>
    <w:p w14:paraId="1BB92D6D">
      <w:pPr>
        <w:numPr>
          <w:ilvl w:val="0"/>
          <w:numId w:val="12"/>
        </w:numPr>
        <w:tabs>
          <w:tab w:val="left" w:pos="525"/>
          <w:tab w:val="left" w:pos="945"/>
        </w:tabs>
        <w:spacing w:line="360" w:lineRule="auto"/>
        <w:ind w:left="420"/>
        <w:rPr>
          <w:bCs/>
        </w:rPr>
      </w:pPr>
      <w:r>
        <w:rPr>
          <w:rFonts w:hint="eastAsia"/>
          <w:bCs/>
        </w:rPr>
        <w:t>特种设备生产许可证、</w:t>
      </w:r>
      <w:r>
        <w:rPr>
          <w:rFonts w:hint="eastAsia"/>
          <w:bCs/>
          <w:lang w:val="en-US" w:eastAsia="zh-CN"/>
        </w:rPr>
        <w:t>相关资质、</w:t>
      </w:r>
      <w:r>
        <w:rPr>
          <w:rFonts w:hint="eastAsia"/>
          <w:bCs/>
        </w:rPr>
        <w:t>体系证书等资质证明</w:t>
      </w:r>
      <w:bookmarkEnd w:id="62"/>
      <w:r>
        <w:rPr>
          <w:rFonts w:hint="eastAsia"/>
          <w:bCs/>
        </w:rPr>
        <w:t>。</w:t>
      </w:r>
      <w:bookmarkEnd w:id="61"/>
    </w:p>
    <w:p w14:paraId="11817171">
      <w:pPr>
        <w:tabs>
          <w:tab w:val="left" w:pos="945"/>
          <w:tab w:val="left" w:pos="1365"/>
        </w:tabs>
        <w:spacing w:line="360" w:lineRule="auto"/>
        <w:ind w:firstLine="480" w:firstLineChars="200"/>
        <w:rPr>
          <w:rFonts w:hint="eastAsia"/>
          <w:bCs/>
        </w:rPr>
      </w:pPr>
      <w:r>
        <w:rPr>
          <w:rFonts w:hint="eastAsia"/>
          <w:bCs/>
        </w:rPr>
        <w:t>6.开标一览表</w:t>
      </w:r>
    </w:p>
    <w:p w14:paraId="7FC41A29">
      <w:pPr>
        <w:tabs>
          <w:tab w:val="left" w:pos="945"/>
          <w:tab w:val="left" w:pos="1365"/>
        </w:tabs>
        <w:spacing w:line="360" w:lineRule="auto"/>
        <w:ind w:firstLine="480" w:firstLineChars="200"/>
        <w:rPr>
          <w:rFonts w:hint="eastAsia"/>
          <w:bCs/>
        </w:rPr>
      </w:pPr>
      <w:r>
        <w:rPr>
          <w:rFonts w:hint="eastAsia"/>
          <w:bCs/>
        </w:rPr>
        <w:t>7.分项报价表</w:t>
      </w:r>
    </w:p>
    <w:p w14:paraId="5B5E9594">
      <w:pPr>
        <w:tabs>
          <w:tab w:val="left" w:pos="3675"/>
        </w:tabs>
        <w:spacing w:line="336" w:lineRule="auto"/>
        <w:ind w:firstLine="480" w:firstLineChars="200"/>
        <w:rPr>
          <w:rFonts w:hint="eastAsia" w:ascii="宋体" w:hAnsi="宋体" w:eastAsia="宋体" w:cs="宋体"/>
          <w:sz w:val="24"/>
        </w:rPr>
      </w:pPr>
      <w:r>
        <w:rPr>
          <w:rFonts w:hint="eastAsia" w:cs="宋体"/>
          <w:sz w:val="24"/>
          <w:lang w:val="en-US" w:eastAsia="zh-CN"/>
        </w:rPr>
        <w:t>8.</w:t>
      </w:r>
      <w:r>
        <w:rPr>
          <w:rFonts w:hint="eastAsia" w:ascii="宋体" w:hAnsi="宋体" w:eastAsia="宋体" w:cs="宋体"/>
          <w:sz w:val="24"/>
        </w:rPr>
        <w:t>按要求提交的投标保证金；</w:t>
      </w:r>
    </w:p>
    <w:p w14:paraId="4B49B211">
      <w:pPr>
        <w:tabs>
          <w:tab w:val="left" w:pos="3675"/>
        </w:tabs>
        <w:spacing w:line="336" w:lineRule="auto"/>
        <w:rPr>
          <w:rFonts w:hint="eastAsia" w:ascii="宋体" w:hAnsi="宋体" w:eastAsia="宋体" w:cs="宋体"/>
          <w:sz w:val="24"/>
        </w:rPr>
      </w:pPr>
      <w:r>
        <w:rPr>
          <w:rFonts w:hint="eastAsia" w:ascii="宋体" w:hAnsi="宋体" w:eastAsia="宋体" w:cs="宋体"/>
          <w:sz w:val="24"/>
        </w:rPr>
        <w:t xml:space="preserve">    </w:t>
      </w:r>
      <w:r>
        <w:rPr>
          <w:rFonts w:hint="eastAsia" w:cs="宋体"/>
          <w:sz w:val="24"/>
          <w:lang w:val="en-US" w:eastAsia="zh-CN"/>
        </w:rPr>
        <w:t>9.</w:t>
      </w:r>
      <w:r>
        <w:rPr>
          <w:rFonts w:hint="eastAsia" w:ascii="宋体" w:hAnsi="宋体" w:eastAsia="宋体" w:cs="宋体"/>
          <w:sz w:val="24"/>
        </w:rPr>
        <w:t>商务条款偏离表；</w:t>
      </w:r>
    </w:p>
    <w:p w14:paraId="550B24EC">
      <w:pPr>
        <w:tabs>
          <w:tab w:val="left" w:pos="3675"/>
        </w:tabs>
        <w:spacing w:line="336" w:lineRule="auto"/>
        <w:rPr>
          <w:rFonts w:hint="eastAsia"/>
        </w:rPr>
      </w:pPr>
      <w:r>
        <w:rPr>
          <w:rFonts w:hint="eastAsia" w:ascii="宋体" w:hAnsi="宋体" w:eastAsia="宋体" w:cs="宋体"/>
          <w:sz w:val="24"/>
        </w:rPr>
        <w:t xml:space="preserve">    </w:t>
      </w:r>
      <w:r>
        <w:rPr>
          <w:rFonts w:hint="eastAsia" w:cs="宋体"/>
          <w:sz w:val="24"/>
          <w:lang w:val="en-US" w:eastAsia="zh-CN"/>
        </w:rPr>
        <w:t>10.</w:t>
      </w:r>
      <w:r>
        <w:rPr>
          <w:rFonts w:hint="eastAsia" w:ascii="宋体" w:hAnsi="宋体" w:eastAsia="宋体" w:cs="宋体"/>
          <w:sz w:val="24"/>
        </w:rPr>
        <w:t>技术文件，技术条款偏离表；</w:t>
      </w:r>
    </w:p>
    <w:p w14:paraId="1ABCE684">
      <w:pPr>
        <w:tabs>
          <w:tab w:val="left" w:pos="945"/>
          <w:tab w:val="left" w:pos="1365"/>
        </w:tabs>
        <w:spacing w:line="360" w:lineRule="auto"/>
        <w:ind w:firstLine="480" w:firstLineChars="200"/>
        <w:rPr>
          <w:rFonts w:hint="eastAsia"/>
        </w:rPr>
      </w:pPr>
      <w:r>
        <w:rPr>
          <w:rFonts w:hint="eastAsia"/>
          <w:lang w:val="en-US" w:eastAsia="zh-CN"/>
        </w:rPr>
        <w:t>11</w:t>
      </w:r>
      <w:r>
        <w:rPr>
          <w:rFonts w:hint="eastAsia"/>
        </w:rPr>
        <w:t>.</w:t>
      </w:r>
      <w:bookmarkStart w:id="63" w:name="_Hlk88433924"/>
      <w:r>
        <w:rPr>
          <w:rFonts w:hint="eastAsia"/>
          <w:bCs/>
          <w:lang w:eastAsia="zh-CN"/>
        </w:rPr>
        <w:t>谈判</w:t>
      </w:r>
      <w:r>
        <w:rPr>
          <w:rFonts w:hint="eastAsia"/>
          <w:bCs/>
        </w:rPr>
        <w:t>文件、评分标准所要求提供的其他资料</w:t>
      </w:r>
      <w:bookmarkEnd w:id="63"/>
    </w:p>
    <w:p w14:paraId="38B037CE">
      <w:pPr>
        <w:tabs>
          <w:tab w:val="left" w:pos="210"/>
          <w:tab w:val="left" w:pos="945"/>
          <w:tab w:val="left" w:pos="1365"/>
          <w:tab w:val="left" w:pos="1575"/>
        </w:tabs>
        <w:spacing w:line="360" w:lineRule="auto"/>
        <w:ind w:firstLine="480" w:firstLineChars="200"/>
        <w:rPr>
          <w:rFonts w:hint="eastAsia" w:eastAsia="宋体"/>
          <w:bCs/>
          <w:lang w:val="en-US" w:eastAsia="zh-CN"/>
        </w:rPr>
      </w:pPr>
      <w:r>
        <w:rPr>
          <w:rFonts w:hint="eastAsia"/>
          <w:bCs/>
          <w:lang w:val="en-US" w:eastAsia="zh-CN"/>
        </w:rPr>
        <w:t>12</w:t>
      </w:r>
      <w:r>
        <w:rPr>
          <w:rFonts w:hint="eastAsia"/>
          <w:bCs/>
        </w:rPr>
        <w:t>.</w:t>
      </w:r>
      <w:bookmarkStart w:id="64" w:name="OLE_LINK15"/>
      <w:r>
        <w:rPr>
          <w:rFonts w:hint="eastAsia"/>
          <w:bCs/>
          <w:lang w:val="en-US" w:eastAsia="zh-CN"/>
        </w:rPr>
        <w:t>业绩证明</w:t>
      </w:r>
      <w:bookmarkEnd w:id="64"/>
    </w:p>
    <w:p w14:paraId="1246FEFB">
      <w:pPr>
        <w:spacing w:line="360" w:lineRule="auto"/>
        <w:ind w:firstLine="480" w:firstLineChars="200"/>
        <w:rPr>
          <w:rFonts w:hint="eastAsia" w:ascii="黑体" w:eastAsia="黑体"/>
          <w:bCs/>
        </w:rPr>
      </w:pPr>
      <w:r>
        <w:rPr>
          <w:rFonts w:hint="eastAsia" w:ascii="黑体" w:eastAsia="黑体"/>
          <w:bCs/>
        </w:rPr>
        <w:t>（五）投标文件的要求：</w:t>
      </w:r>
    </w:p>
    <w:p w14:paraId="5E60E652">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所有文件、往来函件均应使用简体中文（规格、型号辅助符号例外）。</w:t>
      </w:r>
    </w:p>
    <w:p w14:paraId="527EC9E8">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投标文件由投标人按要求参考给定格式如实填写（编写），须有法人（盖章）、法定代表人或法定代表人授权代表签字或盖章，方为有效，未尽事宜可自行补充。</w:t>
      </w:r>
    </w:p>
    <w:p w14:paraId="3C3899ED">
      <w:pPr>
        <w:numPr>
          <w:ilvl w:val="0"/>
          <w:numId w:val="13"/>
        </w:numPr>
        <w:tabs>
          <w:tab w:val="left" w:pos="525"/>
          <w:tab w:val="left" w:pos="945"/>
          <w:tab w:val="clear" w:pos="898"/>
        </w:tabs>
        <w:spacing w:line="360" w:lineRule="auto"/>
        <w:ind w:left="0" w:firstLine="523" w:firstLineChars="218"/>
        <w:rPr>
          <w:rFonts w:hint="eastAsia"/>
          <w:bCs/>
        </w:rPr>
      </w:pPr>
      <w:r>
        <w:rPr>
          <w:rFonts w:hint="eastAsia"/>
          <w:lang w:val="zh-CN"/>
        </w:rPr>
        <w:t>如无特别说明，</w:t>
      </w:r>
      <w:r>
        <w:rPr>
          <w:rFonts w:hint="eastAsia"/>
          <w:bCs/>
        </w:rPr>
        <w:t>投标人报价一律以人民币为投标结算货币,结算单位为“元”。</w:t>
      </w:r>
    </w:p>
    <w:p w14:paraId="2C641349">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投标文件应用不褪色的墨水书写或打印。</w:t>
      </w:r>
    </w:p>
    <w:p w14:paraId="42435D75">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投标文件按照投标函格式中的顺序制作，并请编制目录。</w:t>
      </w:r>
    </w:p>
    <w:p w14:paraId="237392EC">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投标文件份数为正本一份，副本二份，须各自装订成册，并注明“正本”、“副本”字样，密封，同时注明投标人名称，投标文件封袋的封口处应加盖投标人印章。</w:t>
      </w:r>
    </w:p>
    <w:p w14:paraId="3D67991B">
      <w:pPr>
        <w:numPr>
          <w:ilvl w:val="0"/>
          <w:numId w:val="13"/>
        </w:numPr>
        <w:tabs>
          <w:tab w:val="left" w:pos="525"/>
          <w:tab w:val="left" w:pos="945"/>
          <w:tab w:val="clear" w:pos="898"/>
        </w:tabs>
        <w:spacing w:line="360" w:lineRule="auto"/>
        <w:ind w:left="0" w:firstLine="523" w:firstLineChars="218"/>
        <w:rPr>
          <w:rFonts w:hint="eastAsia"/>
          <w:bCs/>
        </w:rPr>
      </w:pPr>
      <w:r>
        <w:rPr>
          <w:rFonts w:hint="eastAsia"/>
          <w:bCs/>
        </w:rPr>
        <w:t>投标文件不应有涂改、增删和潦草之处，如有必须修改时，修改处必须有法人章、法定代表人或法定代表人授权代表的签字。</w:t>
      </w:r>
    </w:p>
    <w:p w14:paraId="60524611">
      <w:pPr>
        <w:numPr>
          <w:ilvl w:val="0"/>
          <w:numId w:val="13"/>
        </w:numPr>
        <w:tabs>
          <w:tab w:val="left" w:pos="525"/>
          <w:tab w:val="left" w:pos="945"/>
          <w:tab w:val="clear" w:pos="898"/>
        </w:tabs>
        <w:spacing w:line="360" w:lineRule="auto"/>
        <w:ind w:left="0" w:leftChars="0" w:firstLine="523" w:firstLineChars="218"/>
        <w:rPr>
          <w:rFonts w:hint="eastAsia"/>
          <w:b/>
          <w:bCs w:val="0"/>
        </w:rPr>
      </w:pPr>
      <w:r>
        <w:rPr>
          <w:rFonts w:hint="eastAsia"/>
          <w:b/>
          <w:bCs w:val="0"/>
        </w:rPr>
        <w:t>开标一览表</w:t>
      </w:r>
      <w:r>
        <w:rPr>
          <w:rFonts w:hint="eastAsia" w:ascii="宋体" w:hAnsi="宋体" w:eastAsia="宋体" w:cs="宋体"/>
          <w:b/>
          <w:bCs w:val="0"/>
          <w:sz w:val="24"/>
        </w:rPr>
        <w:t>要求单独密封后与投标书同时递交。</w:t>
      </w:r>
    </w:p>
    <w:p w14:paraId="350939BA">
      <w:pPr>
        <w:numPr>
          <w:ilvl w:val="0"/>
          <w:numId w:val="13"/>
        </w:numPr>
        <w:tabs>
          <w:tab w:val="left" w:pos="525"/>
          <w:tab w:val="left" w:pos="945"/>
          <w:tab w:val="clear" w:pos="898"/>
        </w:tabs>
        <w:spacing w:line="360" w:lineRule="auto"/>
        <w:ind w:left="0" w:leftChars="0" w:firstLine="523" w:firstLineChars="218"/>
        <w:rPr>
          <w:rFonts w:hint="eastAsia"/>
          <w:bCs/>
        </w:rPr>
      </w:pPr>
      <w:r>
        <w:rPr>
          <w:rFonts w:hint="eastAsia"/>
          <w:bCs/>
        </w:rPr>
        <w:t>投标费用自理。</w:t>
      </w:r>
    </w:p>
    <w:p w14:paraId="5925D343">
      <w:pPr>
        <w:tabs>
          <w:tab w:val="left" w:pos="945"/>
        </w:tabs>
        <w:spacing w:line="360" w:lineRule="auto"/>
        <w:ind w:firstLine="480" w:firstLineChars="200"/>
        <w:rPr>
          <w:rFonts w:hint="eastAsia" w:ascii="黑体" w:eastAsia="黑体"/>
          <w:bCs/>
        </w:rPr>
      </w:pPr>
      <w:r>
        <w:rPr>
          <w:rFonts w:hint="eastAsia" w:ascii="黑体" w:eastAsia="黑体"/>
          <w:bCs/>
        </w:rPr>
        <w:t>（六）无效投标文件的确认：</w:t>
      </w:r>
    </w:p>
    <w:p w14:paraId="59A558B9">
      <w:pPr>
        <w:tabs>
          <w:tab w:val="left" w:pos="945"/>
        </w:tabs>
        <w:spacing w:line="360" w:lineRule="auto"/>
        <w:ind w:firstLine="480" w:firstLineChars="200"/>
        <w:rPr>
          <w:rFonts w:hint="eastAsia" w:ascii="黑体" w:eastAsia="黑体"/>
          <w:bCs/>
        </w:rPr>
      </w:pPr>
      <w:r>
        <w:rPr>
          <w:rFonts w:hint="eastAsia"/>
          <w:bCs/>
        </w:rPr>
        <w:t>投标人有下列情况之一者，投标文件无效：</w:t>
      </w:r>
    </w:p>
    <w:p w14:paraId="5D2BC0E1">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投标文件未按规定的期限、地点送达的；</w:t>
      </w:r>
    </w:p>
    <w:p w14:paraId="4784485F">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投标文件未按要求密封、签署、盖章的；</w:t>
      </w:r>
    </w:p>
    <w:p w14:paraId="7D6B8846">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投标人的法定代表人或法定代表人授权代表，未准时参加开标会议的；</w:t>
      </w:r>
    </w:p>
    <w:p w14:paraId="0A323B18">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投标人的法定代表人授权代表，无法定代表人授权委托书的；</w:t>
      </w:r>
    </w:p>
    <w:p w14:paraId="360F0234">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不具备</w:t>
      </w:r>
      <w:r>
        <w:rPr>
          <w:rFonts w:hint="eastAsia"/>
          <w:bCs/>
          <w:lang w:eastAsia="zh-CN"/>
        </w:rPr>
        <w:t>谈判</w:t>
      </w:r>
      <w:r>
        <w:rPr>
          <w:rFonts w:hint="eastAsia"/>
          <w:bCs/>
        </w:rPr>
        <w:t>文件中规定的资格要求的；</w:t>
      </w:r>
    </w:p>
    <w:p w14:paraId="231BDE47">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未按</w:t>
      </w:r>
      <w:r>
        <w:rPr>
          <w:rFonts w:hint="eastAsia"/>
          <w:bCs/>
          <w:lang w:eastAsia="zh-CN"/>
        </w:rPr>
        <w:t>谈判</w:t>
      </w:r>
      <w:r>
        <w:rPr>
          <w:rFonts w:hint="eastAsia"/>
          <w:bCs/>
        </w:rPr>
        <w:t>文件规定的要求提供资格证明文件的；</w:t>
      </w:r>
    </w:p>
    <w:p w14:paraId="214B7364">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投标文件未按</w:t>
      </w:r>
      <w:r>
        <w:rPr>
          <w:rFonts w:hint="eastAsia"/>
          <w:bCs/>
          <w:lang w:eastAsia="zh-CN"/>
        </w:rPr>
        <w:t>谈判</w:t>
      </w:r>
      <w:r>
        <w:rPr>
          <w:rFonts w:hint="eastAsia"/>
          <w:bCs/>
        </w:rPr>
        <w:t>文件规定的内容和要求填写的；</w:t>
      </w:r>
    </w:p>
    <w:p w14:paraId="45CD456C">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投标文件书写潦草、字迹模糊不清、无法辨认的；</w:t>
      </w:r>
    </w:p>
    <w:p w14:paraId="777B98B3">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投标文件中有</w:t>
      </w:r>
      <w:r>
        <w:rPr>
          <w:rFonts w:hint="eastAsia"/>
          <w:bCs/>
          <w:lang w:eastAsia="zh-CN"/>
        </w:rPr>
        <w:t>谈判</w:t>
      </w:r>
      <w:r>
        <w:rPr>
          <w:rFonts w:hint="eastAsia"/>
          <w:bCs/>
        </w:rPr>
        <w:t>文件未允许提供的选择性内容；</w:t>
      </w:r>
    </w:p>
    <w:p w14:paraId="50B10151">
      <w:pPr>
        <w:numPr>
          <w:ilvl w:val="0"/>
          <w:numId w:val="14"/>
        </w:numPr>
        <w:tabs>
          <w:tab w:val="left" w:pos="525"/>
          <w:tab w:val="left" w:pos="945"/>
          <w:tab w:val="clear" w:pos="762"/>
        </w:tabs>
        <w:spacing w:line="360" w:lineRule="auto"/>
        <w:ind w:left="1" w:firstLine="523" w:firstLineChars="218"/>
        <w:rPr>
          <w:rFonts w:hint="eastAsia"/>
          <w:bCs/>
        </w:rPr>
      </w:pPr>
      <w:r>
        <w:rPr>
          <w:bCs/>
        </w:rPr>
        <w:t>不同投标人的投标文件由同一单位或者个人编制</w:t>
      </w:r>
      <w:r>
        <w:rPr>
          <w:rFonts w:hint="eastAsia"/>
          <w:bCs/>
        </w:rPr>
        <w:t>的</w:t>
      </w:r>
      <w:r>
        <w:rPr>
          <w:bCs/>
        </w:rPr>
        <w:t>；</w:t>
      </w:r>
    </w:p>
    <w:p w14:paraId="5D6D2E6C">
      <w:pPr>
        <w:numPr>
          <w:ilvl w:val="0"/>
          <w:numId w:val="14"/>
        </w:numPr>
        <w:tabs>
          <w:tab w:val="left" w:pos="525"/>
          <w:tab w:val="left" w:pos="945"/>
          <w:tab w:val="clear" w:pos="762"/>
        </w:tabs>
        <w:spacing w:line="360" w:lineRule="auto"/>
        <w:ind w:left="1" w:firstLine="523" w:firstLineChars="218"/>
        <w:rPr>
          <w:rFonts w:hint="eastAsia"/>
          <w:bCs/>
        </w:rPr>
      </w:pPr>
      <w:r>
        <w:rPr>
          <w:bCs/>
        </w:rPr>
        <w:t>不同投标人委托同一单位或者个人办理投标事宜</w:t>
      </w:r>
      <w:r>
        <w:rPr>
          <w:rFonts w:hint="eastAsia"/>
          <w:bCs/>
        </w:rPr>
        <w:t>的</w:t>
      </w:r>
      <w:r>
        <w:rPr>
          <w:bCs/>
        </w:rPr>
        <w:t>；</w:t>
      </w:r>
    </w:p>
    <w:p w14:paraId="308A7F42">
      <w:pPr>
        <w:numPr>
          <w:ilvl w:val="0"/>
          <w:numId w:val="14"/>
        </w:numPr>
        <w:tabs>
          <w:tab w:val="left" w:pos="525"/>
          <w:tab w:val="left" w:pos="945"/>
          <w:tab w:val="clear" w:pos="762"/>
        </w:tabs>
        <w:spacing w:line="360" w:lineRule="auto"/>
        <w:ind w:left="1" w:firstLine="523" w:firstLineChars="218"/>
        <w:rPr>
          <w:rFonts w:hint="eastAsia"/>
          <w:bCs/>
        </w:rPr>
      </w:pPr>
      <w:r>
        <w:rPr>
          <w:bCs/>
        </w:rPr>
        <w:t>不同投标人的投标文件载明的项目管理成员为同一人</w:t>
      </w:r>
      <w:r>
        <w:rPr>
          <w:rFonts w:hint="eastAsia"/>
          <w:bCs/>
        </w:rPr>
        <w:t>的</w:t>
      </w:r>
      <w:r>
        <w:rPr>
          <w:bCs/>
        </w:rPr>
        <w:t>；</w:t>
      </w:r>
    </w:p>
    <w:p w14:paraId="299B905B">
      <w:pPr>
        <w:numPr>
          <w:ilvl w:val="0"/>
          <w:numId w:val="14"/>
        </w:numPr>
        <w:tabs>
          <w:tab w:val="left" w:pos="525"/>
          <w:tab w:val="left" w:pos="945"/>
          <w:tab w:val="clear" w:pos="762"/>
        </w:tabs>
        <w:spacing w:line="360" w:lineRule="auto"/>
        <w:ind w:left="1" w:firstLine="523" w:firstLineChars="218"/>
        <w:rPr>
          <w:rFonts w:hint="eastAsia"/>
          <w:bCs/>
        </w:rPr>
      </w:pPr>
      <w:r>
        <w:rPr>
          <w:bCs/>
        </w:rPr>
        <w:t>不同投标人的投标文件异常一致或者投标报价呈规律性差异</w:t>
      </w:r>
      <w:r>
        <w:rPr>
          <w:rFonts w:hint="eastAsia"/>
          <w:bCs/>
        </w:rPr>
        <w:t>的</w:t>
      </w:r>
      <w:r>
        <w:rPr>
          <w:bCs/>
        </w:rPr>
        <w:t>；</w:t>
      </w:r>
    </w:p>
    <w:p w14:paraId="7E6C1440">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不同投标人的投标文件相互混装的；</w:t>
      </w:r>
    </w:p>
    <w:p w14:paraId="2DA246AF">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提供虚假材料的（包括工商营业执照、财务报表等）；</w:t>
      </w:r>
    </w:p>
    <w:p w14:paraId="65F4FFBE">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投标报价超过最高限价的；</w:t>
      </w:r>
    </w:p>
    <w:p w14:paraId="6353BC54">
      <w:pPr>
        <w:numPr>
          <w:ilvl w:val="0"/>
          <w:numId w:val="14"/>
        </w:numPr>
        <w:tabs>
          <w:tab w:val="left" w:pos="525"/>
          <w:tab w:val="left" w:pos="945"/>
          <w:tab w:val="clear" w:pos="762"/>
        </w:tabs>
        <w:spacing w:line="360" w:lineRule="auto"/>
        <w:ind w:left="1" w:firstLine="523" w:firstLineChars="218"/>
        <w:rPr>
          <w:rFonts w:hint="eastAsia"/>
        </w:rPr>
      </w:pPr>
      <w:r>
        <w:rPr>
          <w:rFonts w:hint="eastAsia"/>
          <w:bCs/>
        </w:rPr>
        <w:t>投标文件内容不全或不符合法律法规和</w:t>
      </w:r>
      <w:r>
        <w:rPr>
          <w:rFonts w:hint="eastAsia"/>
          <w:bCs/>
          <w:lang w:eastAsia="zh-CN"/>
        </w:rPr>
        <w:t>谈判</w:t>
      </w:r>
      <w:r>
        <w:rPr>
          <w:rFonts w:hint="eastAsia"/>
          <w:bCs/>
        </w:rPr>
        <w:t>文件中规定的其它实质性要求的；</w:t>
      </w:r>
    </w:p>
    <w:p w14:paraId="258F529C">
      <w:pPr>
        <w:numPr>
          <w:ilvl w:val="0"/>
          <w:numId w:val="14"/>
        </w:numPr>
        <w:tabs>
          <w:tab w:val="left" w:pos="525"/>
          <w:tab w:val="left" w:pos="945"/>
          <w:tab w:val="clear" w:pos="762"/>
        </w:tabs>
        <w:spacing w:line="360" w:lineRule="auto"/>
        <w:ind w:left="1" w:firstLine="523" w:firstLineChars="218"/>
        <w:rPr>
          <w:rFonts w:hint="eastAsia"/>
          <w:bCs/>
        </w:rPr>
      </w:pPr>
      <w:r>
        <w:rPr>
          <w:rFonts w:hint="eastAsia"/>
          <w:bCs/>
        </w:rPr>
        <w:t>评标委员会认定投标报价明显不合理，有可能影响商品质量和不能诚信履约的。</w:t>
      </w:r>
    </w:p>
    <w:p w14:paraId="764E23FF">
      <w:pPr>
        <w:tabs>
          <w:tab w:val="left" w:pos="945"/>
        </w:tabs>
        <w:spacing w:line="360" w:lineRule="auto"/>
        <w:ind w:firstLine="480" w:firstLineChars="200"/>
        <w:rPr>
          <w:rFonts w:hint="eastAsia" w:ascii="黑体" w:eastAsia="黑体"/>
          <w:bCs/>
        </w:rPr>
      </w:pPr>
      <w:bookmarkStart w:id="65" w:name="_Toc32044"/>
      <w:bookmarkStart w:id="66" w:name="_Toc8538"/>
      <w:bookmarkStart w:id="67" w:name="_Toc23745"/>
      <w:r>
        <w:rPr>
          <w:rFonts w:hint="eastAsia" w:ascii="黑体" w:eastAsia="黑体"/>
          <w:bCs/>
        </w:rPr>
        <w:t>（七）开标、评标：</w:t>
      </w:r>
      <w:bookmarkEnd w:id="65"/>
      <w:bookmarkEnd w:id="66"/>
      <w:bookmarkEnd w:id="67"/>
    </w:p>
    <w:p w14:paraId="6B9081C3">
      <w:pPr>
        <w:spacing w:line="360" w:lineRule="auto"/>
        <w:ind w:firstLine="480" w:firstLineChars="200"/>
        <w:rPr>
          <w:rFonts w:hint="eastAsia" w:ascii="Arial"/>
          <w:color w:val="000000"/>
        </w:rPr>
      </w:pPr>
      <w:r>
        <w:rPr>
          <w:rFonts w:hint="eastAsia" w:ascii="宋体" w:hAnsi="宋体" w:eastAsia="宋体" w:cs="宋体"/>
          <w:color w:val="000000"/>
          <w:lang w:val="en-US" w:eastAsia="zh-CN"/>
        </w:rPr>
        <w:t>1.</w:t>
      </w:r>
      <w:r>
        <w:rPr>
          <w:rFonts w:hint="eastAsia" w:ascii="Arial"/>
          <w:color w:val="000000"/>
        </w:rPr>
        <w:t>投标截止时间至且投标文件未拆封前，对按时送达的投标文件、符合性检查资料及其投标人代表的身份进行符合性检查。</w:t>
      </w:r>
    </w:p>
    <w:p w14:paraId="3BDBC703">
      <w:pPr>
        <w:spacing w:line="360" w:lineRule="auto"/>
        <w:ind w:firstLine="480" w:firstLineChars="200"/>
        <w:rPr>
          <w:rFonts w:hint="eastAsia" w:ascii="Arial"/>
          <w:b/>
          <w:bCs/>
          <w:color w:val="000000"/>
        </w:rPr>
      </w:pPr>
      <w:r>
        <w:rPr>
          <w:rFonts w:hint="eastAsia" w:ascii="宋体" w:hAnsi="宋体" w:eastAsia="宋体" w:cs="宋体"/>
          <w:color w:val="000000"/>
          <w:lang w:val="en-US" w:eastAsia="zh-CN"/>
        </w:rPr>
        <w:t>2.</w:t>
      </w:r>
      <w:r>
        <w:rPr>
          <w:rFonts w:hint="eastAsia" w:ascii="Arial"/>
          <w:color w:val="000000"/>
        </w:rPr>
        <w:t>符合性检查资料的提交。</w:t>
      </w:r>
    </w:p>
    <w:p w14:paraId="064425AC">
      <w:pPr>
        <w:spacing w:line="360" w:lineRule="auto"/>
        <w:ind w:firstLine="480" w:firstLineChars="200"/>
        <w:rPr>
          <w:rFonts w:hint="eastAsia" w:ascii="Arial"/>
          <w:color w:val="000000"/>
        </w:rPr>
      </w:pPr>
      <w:r>
        <w:rPr>
          <w:rFonts w:hint="eastAsia" w:ascii="宋体" w:hAnsi="宋体" w:eastAsia="宋体" w:cs="宋体"/>
          <w:color w:val="000000"/>
          <w:lang w:val="en-US" w:eastAsia="zh-CN"/>
        </w:rPr>
        <w:t>3.</w:t>
      </w:r>
      <w:r>
        <w:rPr>
          <w:rFonts w:hint="eastAsia" w:ascii="Arial"/>
          <w:color w:val="000000"/>
        </w:rPr>
        <w:t>符合性检查如有下列情形之一的，视为无效投标文件并退还给投标人：</w:t>
      </w:r>
    </w:p>
    <w:p w14:paraId="1D60FC42">
      <w:pPr>
        <w:spacing w:line="360" w:lineRule="auto"/>
        <w:ind w:firstLine="480" w:firstLineChars="200"/>
        <w:rPr>
          <w:rFonts w:hint="eastAsia" w:ascii="Arial"/>
          <w:color w:val="000000"/>
        </w:rPr>
      </w:pPr>
      <w:r>
        <w:rPr>
          <w:rFonts w:hint="eastAsia" w:ascii="Arial"/>
          <w:color w:val="000000"/>
        </w:rPr>
        <w:t>(1)投标文件未按本</w:t>
      </w:r>
      <w:r>
        <w:rPr>
          <w:rFonts w:hint="eastAsia"/>
          <w:bCs/>
          <w:lang w:eastAsia="zh-CN"/>
        </w:rPr>
        <w:t>谈判</w:t>
      </w:r>
      <w:r>
        <w:rPr>
          <w:rFonts w:hint="eastAsia" w:ascii="Arial"/>
          <w:color w:val="000000"/>
        </w:rPr>
        <w:t>文件要求密封和标志的；</w:t>
      </w:r>
    </w:p>
    <w:p w14:paraId="5A416C3E">
      <w:pPr>
        <w:spacing w:line="360" w:lineRule="auto"/>
        <w:ind w:firstLine="480" w:firstLineChars="200"/>
        <w:rPr>
          <w:rFonts w:hint="eastAsia" w:ascii="Arial"/>
          <w:color w:val="000000"/>
        </w:rPr>
      </w:pPr>
      <w:r>
        <w:rPr>
          <w:rFonts w:hint="eastAsia" w:ascii="Arial"/>
          <w:color w:val="000000"/>
        </w:rPr>
        <w:t>(2)投标人代表（法定代表人或其委托代理人）未准时出席开标会议或未出示本人有效身份证明的；</w:t>
      </w:r>
    </w:p>
    <w:p w14:paraId="3FB99700">
      <w:pPr>
        <w:spacing w:line="360" w:lineRule="auto"/>
        <w:ind w:firstLine="480" w:firstLineChars="200"/>
        <w:rPr>
          <w:rFonts w:hint="eastAsia" w:ascii="Arial"/>
          <w:color w:val="000000"/>
        </w:rPr>
      </w:pPr>
      <w:r>
        <w:rPr>
          <w:rFonts w:hint="eastAsia" w:ascii="Arial"/>
          <w:color w:val="000000"/>
        </w:rPr>
        <w:t>(3)未按符合性检查资料提交方式提交符合性检查资料的。</w:t>
      </w:r>
    </w:p>
    <w:p w14:paraId="283FE1B8">
      <w:pPr>
        <w:spacing w:line="360" w:lineRule="auto"/>
        <w:ind w:firstLine="437"/>
        <w:rPr>
          <w:rFonts w:ascii="Arial" w:hAnsi="Arial"/>
          <w:color w:val="000000"/>
        </w:rPr>
      </w:pPr>
      <w:r>
        <w:rPr>
          <w:rFonts w:hint="eastAsia" w:ascii="宋体" w:hAnsi="宋体" w:eastAsia="宋体" w:cs="宋体"/>
          <w:color w:val="000000"/>
          <w:lang w:val="en-US" w:eastAsia="zh-CN"/>
        </w:rPr>
        <w:t>4.</w:t>
      </w:r>
      <w:r>
        <w:rPr>
          <w:rFonts w:hint="eastAsia"/>
          <w:color w:val="000000"/>
        </w:rPr>
        <w:t>开标时，投标文件出现下列情形之一的，应当作为无效投标文件，不得进入评标程序。</w:t>
      </w:r>
    </w:p>
    <w:p w14:paraId="7F5B71B1">
      <w:pPr>
        <w:spacing w:line="360" w:lineRule="auto"/>
        <w:ind w:firstLine="437"/>
        <w:rPr>
          <w:rFonts w:hint="eastAsia" w:ascii="Arial"/>
          <w:color w:val="000000"/>
        </w:rPr>
      </w:pPr>
      <w:r>
        <w:rPr>
          <w:rFonts w:hint="eastAsia" w:ascii="Arial"/>
          <w:color w:val="000000"/>
        </w:rPr>
        <w:t>(1)投标文件未按照招标文件的要求装订、密封和标记的；</w:t>
      </w:r>
    </w:p>
    <w:p w14:paraId="2E0AE4B3">
      <w:pPr>
        <w:spacing w:line="360" w:lineRule="auto"/>
        <w:ind w:firstLine="437"/>
        <w:rPr>
          <w:rFonts w:hint="eastAsia" w:ascii="Arial"/>
          <w:color w:val="000000"/>
        </w:rPr>
      </w:pPr>
      <w:r>
        <w:rPr>
          <w:rFonts w:hint="eastAsia" w:ascii="Arial"/>
          <w:color w:val="000000"/>
        </w:rPr>
        <w:t>(2)本项目投标文件未加盖投标人印章或未经法定代表人或其委托代理人签字或盖章的，由委托代理人签字或盖章的，但未随投标文件一起递交有效的“授权委托书”原件的。</w:t>
      </w:r>
    </w:p>
    <w:p w14:paraId="51F061B6">
      <w:pPr>
        <w:spacing w:line="360" w:lineRule="auto"/>
        <w:ind w:firstLine="240" w:firstLineChars="100"/>
        <w:rPr>
          <w:rFonts w:hint="default" w:ascii="Arial"/>
          <w:color w:val="000000"/>
          <w:lang w:val="en-US" w:eastAsia="zh-CN"/>
        </w:rPr>
      </w:pPr>
      <w:r>
        <w:rPr>
          <w:rFonts w:hint="eastAsia" w:ascii="Arial"/>
          <w:color w:val="000000"/>
          <w:lang w:eastAsia="zh-CN"/>
        </w:rPr>
        <w:t>（</w:t>
      </w:r>
      <w:r>
        <w:rPr>
          <w:rFonts w:hint="eastAsia" w:ascii="Arial"/>
          <w:color w:val="000000"/>
          <w:lang w:val="en-US" w:eastAsia="zh-CN"/>
        </w:rPr>
        <w:t>3</w:t>
      </w:r>
      <w:r>
        <w:rPr>
          <w:rFonts w:hint="eastAsia" w:ascii="Arial"/>
          <w:color w:val="000000"/>
          <w:lang w:eastAsia="zh-CN"/>
        </w:rPr>
        <w:t>）</w:t>
      </w:r>
      <w:r>
        <w:rPr>
          <w:rFonts w:hint="eastAsia" w:ascii="Arial"/>
          <w:color w:val="000000"/>
          <w:lang w:val="en-US" w:eastAsia="zh-CN"/>
        </w:rPr>
        <w:t>未按要求在开标前缴纳投标保证金的。</w:t>
      </w:r>
    </w:p>
    <w:p w14:paraId="21BB6373">
      <w:pPr>
        <w:spacing w:line="360" w:lineRule="auto"/>
        <w:ind w:firstLine="437"/>
        <w:rPr>
          <w:rFonts w:hint="eastAsia"/>
          <w:bCs/>
        </w:rPr>
      </w:pPr>
      <w:r>
        <w:rPr>
          <w:rFonts w:hint="eastAsia" w:ascii="宋体" w:hAnsi="宋体" w:eastAsia="宋体" w:cs="宋体"/>
          <w:color w:val="000000"/>
          <w:lang w:val="en-US" w:eastAsia="zh-CN"/>
        </w:rPr>
        <w:t>5.</w:t>
      </w:r>
      <w:r>
        <w:rPr>
          <w:rFonts w:hint="eastAsia" w:ascii="Arial"/>
          <w:color w:val="000000"/>
        </w:rPr>
        <w:t>符合性检查结束后由工作人员当众拆封，宣读、</w:t>
      </w:r>
      <w:r>
        <w:rPr>
          <w:rFonts w:hint="eastAsia"/>
          <w:bCs/>
        </w:rPr>
        <w:t>记录各投标人《开标一览表》。</w:t>
      </w:r>
    </w:p>
    <w:p w14:paraId="655FBABC">
      <w:pPr>
        <w:tabs>
          <w:tab w:val="left" w:pos="945"/>
        </w:tabs>
        <w:spacing w:line="360" w:lineRule="auto"/>
        <w:ind w:firstLine="480" w:firstLineChars="200"/>
        <w:rPr>
          <w:rFonts w:hint="eastAsia"/>
          <w:bCs/>
        </w:rPr>
      </w:pPr>
      <w:r>
        <w:rPr>
          <w:rFonts w:hint="eastAsia"/>
          <w:bCs/>
        </w:rPr>
        <w:t>(1)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39192A35">
      <w:pPr>
        <w:tabs>
          <w:tab w:val="left" w:pos="525"/>
          <w:tab w:val="left" w:pos="945"/>
        </w:tabs>
        <w:spacing w:line="360" w:lineRule="auto"/>
        <w:ind w:firstLine="480" w:firstLineChars="200"/>
        <w:rPr>
          <w:rFonts w:hint="eastAsia"/>
          <w:bCs/>
        </w:rPr>
      </w:pPr>
      <w:r>
        <w:rPr>
          <w:rFonts w:hint="eastAsia"/>
          <w:bCs/>
        </w:rPr>
        <w:t>(2)正本与副本不符，以正本为准。</w:t>
      </w:r>
    </w:p>
    <w:p w14:paraId="5DF01D82">
      <w:pPr>
        <w:tabs>
          <w:tab w:val="left" w:pos="525"/>
          <w:tab w:val="left" w:pos="945"/>
        </w:tabs>
        <w:spacing w:line="360" w:lineRule="auto"/>
        <w:ind w:firstLine="480" w:firstLineChars="200"/>
        <w:rPr>
          <w:rFonts w:hint="eastAsia"/>
          <w:bCs/>
        </w:rPr>
      </w:pPr>
      <w:r>
        <w:rPr>
          <w:rFonts w:hint="eastAsia"/>
          <w:bCs/>
        </w:rPr>
        <w:t>(3)招标人将有效投标文件，送评标委员会进行评审、比较。</w:t>
      </w:r>
    </w:p>
    <w:p w14:paraId="02CED8AC">
      <w:pPr>
        <w:tabs>
          <w:tab w:val="left" w:pos="525"/>
          <w:tab w:val="left" w:pos="945"/>
        </w:tabs>
        <w:spacing w:line="360" w:lineRule="auto"/>
        <w:ind w:left="523" w:leftChars="218"/>
        <w:rPr>
          <w:rFonts w:hint="eastAsia"/>
        </w:rPr>
      </w:pPr>
      <w:r>
        <w:rPr>
          <w:rFonts w:hint="eastAsia" w:ascii="宋体" w:hAnsi="宋体" w:eastAsia="宋体" w:cs="宋体"/>
          <w:color w:val="000000"/>
          <w:lang w:val="en-US" w:eastAsia="zh-CN"/>
        </w:rPr>
        <w:t>6.</w:t>
      </w:r>
      <w:r>
        <w:t>评标程序</w:t>
      </w:r>
    </w:p>
    <w:p w14:paraId="259EFC5C">
      <w:pPr>
        <w:tabs>
          <w:tab w:val="left" w:pos="945"/>
        </w:tabs>
        <w:spacing w:line="360" w:lineRule="auto"/>
        <w:ind w:firstLine="523" w:firstLineChars="218"/>
        <w:rPr>
          <w:rFonts w:hint="eastAsia"/>
          <w:bCs/>
        </w:rPr>
      </w:pPr>
      <w:r>
        <w:rPr>
          <w:rFonts w:hint="eastAsia"/>
          <w:bCs/>
        </w:rPr>
        <w:t>评标工作由招标人负责组织，具体评标事务由依法组建的评标委员会负责。</w:t>
      </w:r>
    </w:p>
    <w:p w14:paraId="06206AAB">
      <w:pPr>
        <w:tabs>
          <w:tab w:val="left" w:pos="945"/>
        </w:tabs>
        <w:spacing w:line="360" w:lineRule="auto"/>
        <w:ind w:firstLine="523" w:firstLineChars="218"/>
        <w:rPr>
          <w:rFonts w:hint="eastAsia"/>
          <w:bCs/>
        </w:rPr>
      </w:pPr>
      <w:r>
        <w:rPr>
          <w:rFonts w:hint="eastAsia"/>
          <w:bCs/>
        </w:rPr>
        <w:t>（1）资格性检查。评标委员会依据法律法规和招标文件的规定，对投标文件中的资格证明等进行审查，以确定投标人是否具备投标资格。</w:t>
      </w:r>
    </w:p>
    <w:p w14:paraId="140FEDFD">
      <w:pPr>
        <w:tabs>
          <w:tab w:val="left" w:pos="525"/>
          <w:tab w:val="left" w:pos="945"/>
          <w:tab w:val="left" w:pos="1104"/>
          <w:tab w:val="left" w:pos="1155"/>
        </w:tabs>
        <w:spacing w:line="360" w:lineRule="auto"/>
        <w:ind w:left="523" w:leftChars="218"/>
        <w:rPr>
          <w:rFonts w:hint="eastAsia"/>
          <w:bCs/>
        </w:rPr>
      </w:pPr>
      <w:r>
        <w:rPr>
          <w:rFonts w:hint="eastAsia"/>
          <w:bCs/>
        </w:rPr>
        <w:t>（2）</w:t>
      </w:r>
      <w:r>
        <w:rPr>
          <w:bCs/>
        </w:rPr>
        <w:t>澄清有关问题。对投标文件中含义不明确、同类问题表述不一致或者有明显文字和计算错误的内容，评标委员会可以书面形式（应当由评标委员会专家签字）要求投标人作出必要的澄清、说明或者纠正。投标人的澄清、说明或者补正应当采用书面形式，由其授权的代表签字，并不得超出投标文件的范围或者改变投标文件的实质性内容</w:t>
      </w:r>
      <w:r>
        <w:rPr>
          <w:rFonts w:hint="eastAsia"/>
          <w:bCs/>
        </w:rPr>
        <w:t>。</w:t>
      </w:r>
    </w:p>
    <w:p w14:paraId="18B008B1">
      <w:pPr>
        <w:tabs>
          <w:tab w:val="left" w:pos="945"/>
          <w:tab w:val="left" w:pos="1104"/>
          <w:tab w:val="left" w:pos="1155"/>
          <w:tab w:val="left" w:pos="1365"/>
        </w:tabs>
        <w:spacing w:line="360" w:lineRule="auto"/>
        <w:ind w:left="523" w:leftChars="218"/>
        <w:rPr>
          <w:rFonts w:hint="eastAsia"/>
          <w:bCs/>
        </w:rPr>
      </w:pPr>
      <w:r>
        <w:rPr>
          <w:bCs/>
        </w:rPr>
        <w:t>（3）比较与评价。</w:t>
      </w:r>
      <w:r>
        <w:t>评标委员会认为投标人的报价明显低于其他通过符合性审查投标人的报价，有可能影响产品质量或者不能诚信履约的，将要求其在评标现场合理的时间内提供书面说明，必要时提交相关证明材料；投标人不能证明其报价合理性的，评标委员会将其作为无效投标处理。</w:t>
      </w:r>
    </w:p>
    <w:p w14:paraId="441CB897">
      <w:pPr>
        <w:tabs>
          <w:tab w:val="left" w:pos="945"/>
          <w:tab w:val="left" w:pos="1104"/>
          <w:tab w:val="left" w:pos="1155"/>
          <w:tab w:val="left" w:pos="1365"/>
        </w:tabs>
        <w:spacing w:line="360" w:lineRule="auto"/>
        <w:ind w:left="523" w:leftChars="218"/>
        <w:rPr>
          <w:rFonts w:hint="eastAsia"/>
          <w:bCs/>
        </w:rPr>
      </w:pPr>
      <w:r>
        <w:rPr>
          <w:bCs/>
        </w:rPr>
        <w:t>（4）按</w:t>
      </w:r>
      <w:r>
        <w:rPr>
          <w:rFonts w:hint="eastAsia"/>
          <w:bCs/>
          <w:lang w:eastAsia="zh-CN"/>
        </w:rPr>
        <w:t>谈判</w:t>
      </w:r>
      <w:r>
        <w:rPr>
          <w:bCs/>
        </w:rPr>
        <w:t>文件中规定的评标方法和标准，对</w:t>
      </w:r>
      <w:r>
        <w:rPr>
          <w:rFonts w:hint="eastAsia"/>
          <w:bCs/>
        </w:rPr>
        <w:t>资格性检查和符合性检查</w:t>
      </w:r>
      <w:r>
        <w:rPr>
          <w:bCs/>
        </w:rPr>
        <w:t>的投标文件进行综合比较与评价</w:t>
      </w:r>
      <w:r>
        <w:rPr>
          <w:rFonts w:hint="eastAsia"/>
          <w:bCs/>
        </w:rPr>
        <w:t>。</w:t>
      </w:r>
    </w:p>
    <w:p w14:paraId="5CEE647B">
      <w:pPr>
        <w:tabs>
          <w:tab w:val="left" w:pos="945"/>
          <w:tab w:val="left" w:pos="1104"/>
          <w:tab w:val="left" w:pos="1155"/>
          <w:tab w:val="left" w:pos="1365"/>
        </w:tabs>
        <w:spacing w:line="360" w:lineRule="auto"/>
        <w:ind w:left="523" w:leftChars="218"/>
        <w:rPr>
          <w:rFonts w:hint="eastAsia"/>
          <w:bCs/>
        </w:rPr>
      </w:pPr>
      <w:r>
        <w:rPr>
          <w:rFonts w:hint="eastAsia"/>
          <w:bCs/>
        </w:rPr>
        <w:t>7.评标方法</w:t>
      </w:r>
    </w:p>
    <w:p w14:paraId="59F2628C">
      <w:pPr>
        <w:tabs>
          <w:tab w:val="left" w:pos="945"/>
          <w:tab w:val="left" w:pos="1104"/>
          <w:tab w:val="left" w:pos="1155"/>
          <w:tab w:val="left" w:pos="1365"/>
        </w:tabs>
        <w:spacing w:line="360" w:lineRule="auto"/>
        <w:ind w:firstLine="480" w:firstLineChars="200"/>
        <w:rPr>
          <w:rFonts w:hint="eastAsia"/>
          <w:bCs/>
        </w:rPr>
      </w:pPr>
      <w:bookmarkStart w:id="68" w:name="_Toc31231"/>
      <w:bookmarkStart w:id="69" w:name="_Toc22409"/>
      <w:bookmarkStart w:id="70" w:name="_Toc20788"/>
      <w:r>
        <w:rPr>
          <w:rFonts w:hint="eastAsia"/>
          <w:bCs/>
        </w:rPr>
        <w:t>比较与评价采用综合评分法，下列各分项分值均为满分值，加分时加满为止，扣分时扣完为止；计分时如存在小数位，则保留两位小数。</w:t>
      </w:r>
    </w:p>
    <w:p w14:paraId="69E74215">
      <w:pPr>
        <w:tabs>
          <w:tab w:val="left" w:pos="945"/>
          <w:tab w:val="left" w:pos="1104"/>
          <w:tab w:val="left" w:pos="1155"/>
          <w:tab w:val="left" w:pos="1365"/>
        </w:tabs>
        <w:spacing w:line="360" w:lineRule="auto"/>
        <w:ind w:firstLine="480" w:firstLineChars="200"/>
        <w:rPr>
          <w:rFonts w:hint="eastAsia"/>
          <w:bCs/>
        </w:rPr>
      </w:pPr>
      <w:r>
        <w:rPr>
          <w:rFonts w:hint="eastAsia"/>
          <w:bCs/>
        </w:rPr>
        <w:t>评标委员会遵循公平、公正、择优原则，按高低顺序排列，确定3家中标候选单位。若得分相同，按投标报价由低到高顺序排列；得分且投标报价相同，由评标委员会确定。</w:t>
      </w:r>
    </w:p>
    <w:p w14:paraId="2F99E984">
      <w:pPr>
        <w:tabs>
          <w:tab w:val="left" w:pos="945"/>
          <w:tab w:val="left" w:pos="1104"/>
          <w:tab w:val="left" w:pos="1155"/>
          <w:tab w:val="left" w:pos="1365"/>
        </w:tabs>
        <w:spacing w:line="360" w:lineRule="auto"/>
        <w:ind w:left="523" w:leftChars="218"/>
        <w:rPr>
          <w:rFonts w:hint="eastAsia"/>
          <w:bCs/>
        </w:rPr>
      </w:pPr>
      <w:r>
        <w:rPr>
          <w:rFonts w:hint="eastAsia"/>
          <w:bCs/>
          <w:szCs w:val="22"/>
        </w:rPr>
        <w:t>8.评分标准</w:t>
      </w:r>
    </w:p>
    <w:p w14:paraId="53FAE237">
      <w:pPr>
        <w:rPr>
          <w:rFonts w:hint="eastAsia"/>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85"/>
        <w:gridCol w:w="783"/>
        <w:gridCol w:w="7269"/>
      </w:tblGrid>
      <w:tr w14:paraId="543B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4" w:type="dxa"/>
            <w:tcBorders>
              <w:top w:val="single" w:color="auto" w:sz="4" w:space="0"/>
              <w:left w:val="single" w:color="auto" w:sz="4" w:space="0"/>
              <w:bottom w:val="single" w:color="auto" w:sz="4" w:space="0"/>
              <w:right w:val="single" w:color="auto" w:sz="4" w:space="0"/>
            </w:tcBorders>
            <w:vAlign w:val="center"/>
          </w:tcPr>
          <w:p w14:paraId="709BE11B">
            <w:pPr>
              <w:tabs>
                <w:tab w:val="left" w:pos="945"/>
                <w:tab w:val="left" w:pos="1104"/>
                <w:tab w:val="left" w:pos="1155"/>
                <w:tab w:val="left" w:pos="1365"/>
              </w:tabs>
              <w:spacing w:line="360" w:lineRule="auto"/>
              <w:rPr>
                <w:rFonts w:hint="eastAsia" w:ascii="宋体" w:hAnsi="宋体" w:eastAsia="宋体" w:cs="宋体"/>
                <w:bCs/>
                <w:sz w:val="22"/>
                <w:szCs w:val="22"/>
                <w:lang w:val="en-US" w:eastAsia="zh-CN"/>
              </w:rPr>
            </w:pPr>
            <w:r>
              <w:rPr>
                <w:rFonts w:hint="eastAsia" w:ascii="宋体" w:hAnsi="宋体" w:eastAsia="宋体" w:cs="宋体"/>
                <w:bCs/>
                <w:sz w:val="22"/>
                <w:szCs w:val="22"/>
              </w:rPr>
              <w:t>序</w:t>
            </w:r>
            <w:r>
              <w:rPr>
                <w:rFonts w:hint="eastAsia" w:ascii="宋体" w:hAnsi="宋体" w:eastAsia="宋体" w:cs="宋体"/>
                <w:bCs/>
                <w:sz w:val="22"/>
                <w:szCs w:val="22"/>
                <w:lang w:val="en-US" w:eastAsia="zh-CN"/>
              </w:rPr>
              <w:t>号</w:t>
            </w:r>
          </w:p>
        </w:tc>
        <w:tc>
          <w:tcPr>
            <w:tcW w:w="1185" w:type="dxa"/>
            <w:tcBorders>
              <w:top w:val="single" w:color="auto" w:sz="4" w:space="0"/>
              <w:left w:val="single" w:color="auto" w:sz="4" w:space="0"/>
              <w:bottom w:val="single" w:color="auto" w:sz="4" w:space="0"/>
              <w:right w:val="single" w:color="auto" w:sz="4" w:space="0"/>
            </w:tcBorders>
            <w:vAlign w:val="center"/>
          </w:tcPr>
          <w:p w14:paraId="69BA9BB5">
            <w:pPr>
              <w:tabs>
                <w:tab w:val="left" w:pos="945"/>
                <w:tab w:val="left" w:pos="1104"/>
                <w:tab w:val="left" w:pos="1155"/>
                <w:tab w:val="left" w:pos="1365"/>
              </w:tabs>
              <w:spacing w:line="360" w:lineRule="auto"/>
              <w:jc w:val="both"/>
              <w:rPr>
                <w:rFonts w:hint="eastAsia" w:ascii="宋体" w:hAnsi="宋体" w:eastAsia="宋体" w:cs="宋体"/>
                <w:bCs/>
                <w:sz w:val="22"/>
                <w:szCs w:val="22"/>
              </w:rPr>
            </w:pPr>
            <w:r>
              <w:rPr>
                <w:rFonts w:hint="eastAsia" w:ascii="宋体" w:hAnsi="宋体" w:eastAsia="宋体" w:cs="宋体"/>
                <w:bCs/>
                <w:sz w:val="22"/>
                <w:szCs w:val="22"/>
              </w:rPr>
              <w:t>项目</w:t>
            </w:r>
          </w:p>
        </w:tc>
        <w:tc>
          <w:tcPr>
            <w:tcW w:w="783" w:type="dxa"/>
            <w:tcBorders>
              <w:top w:val="single" w:color="auto" w:sz="4" w:space="0"/>
              <w:left w:val="single" w:color="auto" w:sz="4" w:space="0"/>
              <w:bottom w:val="single" w:color="auto" w:sz="4" w:space="0"/>
              <w:right w:val="single" w:color="auto" w:sz="4" w:space="0"/>
            </w:tcBorders>
            <w:vAlign w:val="center"/>
          </w:tcPr>
          <w:p w14:paraId="3D9728E7">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Cs/>
                <w:sz w:val="22"/>
                <w:szCs w:val="22"/>
              </w:rPr>
              <w:t>满分</w:t>
            </w:r>
          </w:p>
          <w:p w14:paraId="2FF5FC90">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Cs/>
                <w:sz w:val="22"/>
                <w:szCs w:val="22"/>
              </w:rPr>
              <w:t>分值</w:t>
            </w:r>
          </w:p>
        </w:tc>
        <w:tc>
          <w:tcPr>
            <w:tcW w:w="7269" w:type="dxa"/>
            <w:tcBorders>
              <w:top w:val="single" w:color="auto" w:sz="4" w:space="0"/>
              <w:left w:val="single" w:color="auto" w:sz="4" w:space="0"/>
              <w:bottom w:val="single" w:color="auto" w:sz="4" w:space="0"/>
              <w:right w:val="single" w:color="auto" w:sz="4" w:space="0"/>
            </w:tcBorders>
            <w:vAlign w:val="center"/>
          </w:tcPr>
          <w:p w14:paraId="171319DC">
            <w:pPr>
              <w:tabs>
                <w:tab w:val="left" w:pos="945"/>
                <w:tab w:val="left" w:pos="1104"/>
                <w:tab w:val="left" w:pos="1155"/>
                <w:tab w:val="left" w:pos="1365"/>
              </w:tabs>
              <w:spacing w:line="360" w:lineRule="auto"/>
              <w:ind w:firstLine="440" w:firstLineChars="200"/>
              <w:jc w:val="center"/>
              <w:rPr>
                <w:rFonts w:hint="eastAsia" w:ascii="宋体" w:hAnsi="宋体" w:eastAsia="宋体" w:cs="宋体"/>
                <w:bCs/>
                <w:sz w:val="22"/>
                <w:szCs w:val="22"/>
              </w:rPr>
            </w:pPr>
            <w:r>
              <w:rPr>
                <w:rFonts w:hint="eastAsia" w:ascii="宋体" w:hAnsi="宋体" w:eastAsia="宋体" w:cs="宋体"/>
                <w:bCs/>
                <w:sz w:val="22"/>
                <w:szCs w:val="22"/>
              </w:rPr>
              <w:t>评分标准</w:t>
            </w:r>
          </w:p>
        </w:tc>
      </w:tr>
      <w:tr w14:paraId="7B63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911" w:type="dxa"/>
            <w:gridSpan w:val="4"/>
            <w:tcBorders>
              <w:top w:val="single" w:color="auto" w:sz="4" w:space="0"/>
              <w:left w:val="single" w:color="auto" w:sz="4" w:space="0"/>
              <w:bottom w:val="single" w:color="auto" w:sz="4" w:space="0"/>
              <w:right w:val="single" w:color="auto" w:sz="4" w:space="0"/>
            </w:tcBorders>
            <w:vAlign w:val="center"/>
          </w:tcPr>
          <w:p w14:paraId="75E8C533">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
                <w:bCs w:val="0"/>
                <w:sz w:val="22"/>
                <w:szCs w:val="22"/>
              </w:rPr>
              <w:t>技术部分</w:t>
            </w:r>
          </w:p>
        </w:tc>
      </w:tr>
      <w:tr w14:paraId="0FCD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0B822232">
            <w:pPr>
              <w:tabs>
                <w:tab w:val="left" w:pos="945"/>
                <w:tab w:val="left" w:pos="1104"/>
                <w:tab w:val="left" w:pos="1155"/>
                <w:tab w:val="left" w:pos="1365"/>
              </w:tabs>
              <w:spacing w:line="360" w:lineRule="auto"/>
              <w:jc w:val="center"/>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w:t>
            </w:r>
          </w:p>
        </w:tc>
        <w:tc>
          <w:tcPr>
            <w:tcW w:w="1185" w:type="dxa"/>
            <w:tcBorders>
              <w:top w:val="single" w:color="auto" w:sz="4" w:space="0"/>
              <w:left w:val="single" w:color="auto" w:sz="4" w:space="0"/>
              <w:bottom w:val="single" w:color="auto" w:sz="4" w:space="0"/>
              <w:right w:val="single" w:color="auto" w:sz="4" w:space="0"/>
            </w:tcBorders>
            <w:vAlign w:val="center"/>
          </w:tcPr>
          <w:p w14:paraId="0D80BCFA">
            <w:pPr>
              <w:tabs>
                <w:tab w:val="left" w:pos="945"/>
                <w:tab w:val="left" w:pos="1104"/>
                <w:tab w:val="left" w:pos="1155"/>
                <w:tab w:val="left" w:pos="1365"/>
              </w:tabs>
              <w:spacing w:line="360" w:lineRule="auto"/>
              <w:rPr>
                <w:rFonts w:hint="eastAsia" w:ascii="宋体" w:hAnsi="宋体" w:eastAsia="宋体" w:cs="宋体"/>
                <w:bCs/>
                <w:sz w:val="22"/>
                <w:szCs w:val="22"/>
                <w:lang w:val="en-US" w:eastAsia="zh-CN"/>
              </w:rPr>
            </w:pPr>
            <w:r>
              <w:rPr>
                <w:rFonts w:hint="eastAsia" w:cs="宋体"/>
                <w:bCs/>
                <w:sz w:val="22"/>
                <w:szCs w:val="22"/>
                <w:lang w:val="en-US" w:eastAsia="zh-CN"/>
              </w:rPr>
              <w:t>技术标准</w:t>
            </w:r>
          </w:p>
        </w:tc>
        <w:tc>
          <w:tcPr>
            <w:tcW w:w="783" w:type="dxa"/>
            <w:tcBorders>
              <w:top w:val="single" w:color="auto" w:sz="4" w:space="0"/>
              <w:left w:val="single" w:color="auto" w:sz="4" w:space="0"/>
              <w:bottom w:val="single" w:color="auto" w:sz="4" w:space="0"/>
              <w:right w:val="single" w:color="auto" w:sz="4" w:space="0"/>
            </w:tcBorders>
            <w:vAlign w:val="center"/>
          </w:tcPr>
          <w:p w14:paraId="63A5E27A">
            <w:pPr>
              <w:tabs>
                <w:tab w:val="left" w:pos="945"/>
                <w:tab w:val="left" w:pos="1104"/>
                <w:tab w:val="left" w:pos="1155"/>
                <w:tab w:val="left" w:pos="1365"/>
              </w:tabs>
              <w:spacing w:line="360" w:lineRule="auto"/>
              <w:rPr>
                <w:rFonts w:hint="default" w:ascii="宋体" w:hAnsi="宋体" w:eastAsia="宋体" w:cs="宋体"/>
                <w:bCs/>
                <w:sz w:val="22"/>
                <w:szCs w:val="22"/>
                <w:lang w:val="en-US" w:eastAsia="zh-CN"/>
              </w:rPr>
            </w:pPr>
            <w:r>
              <w:rPr>
                <w:rFonts w:hint="eastAsia" w:ascii="宋体" w:hAnsi="宋体" w:eastAsia="宋体" w:cs="宋体"/>
                <w:bCs/>
                <w:sz w:val="22"/>
                <w:szCs w:val="22"/>
                <w:lang w:val="en-US" w:eastAsia="zh-CN"/>
              </w:rPr>
              <w:t>1</w:t>
            </w:r>
            <w:r>
              <w:rPr>
                <w:rFonts w:hint="eastAsia" w:cs="宋体"/>
                <w:bCs/>
                <w:sz w:val="22"/>
                <w:szCs w:val="22"/>
                <w:lang w:val="en-US" w:eastAsia="zh-CN"/>
              </w:rPr>
              <w:t>5</w:t>
            </w:r>
            <w:r>
              <w:rPr>
                <w:rFonts w:hint="eastAsia" w:ascii="宋体" w:hAnsi="宋体" w:eastAsia="宋体" w:cs="宋体"/>
                <w:bCs/>
                <w:sz w:val="22"/>
                <w:szCs w:val="22"/>
                <w:lang w:val="en-US" w:eastAsia="zh-CN"/>
              </w:rPr>
              <w:t>分</w:t>
            </w:r>
          </w:p>
        </w:tc>
        <w:tc>
          <w:tcPr>
            <w:tcW w:w="7269" w:type="dxa"/>
            <w:tcBorders>
              <w:top w:val="single" w:color="auto" w:sz="4" w:space="0"/>
              <w:left w:val="single" w:color="auto" w:sz="4" w:space="0"/>
              <w:bottom w:val="single" w:color="auto" w:sz="4" w:space="0"/>
              <w:right w:val="single" w:color="auto" w:sz="4" w:space="0"/>
            </w:tcBorders>
            <w:vAlign w:val="center"/>
          </w:tcPr>
          <w:p w14:paraId="1A33D897">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rPr>
              <w:t>技术指标：</w:t>
            </w:r>
            <w:r>
              <w:rPr>
                <w:rFonts w:hint="eastAsia" w:ascii="宋体" w:hAnsi="宋体" w:eastAsia="宋体" w:cs="宋体"/>
                <w:bCs/>
                <w:sz w:val="22"/>
                <w:szCs w:val="22"/>
                <w:lang w:val="en-US" w:eastAsia="zh-CN"/>
              </w:rPr>
              <w:t>储罐</w:t>
            </w:r>
            <w:r>
              <w:rPr>
                <w:rFonts w:hint="eastAsia" w:ascii="宋体" w:hAnsi="宋体" w:eastAsia="宋体" w:cs="宋体"/>
                <w:bCs/>
                <w:sz w:val="22"/>
                <w:szCs w:val="22"/>
              </w:rPr>
              <w:t>的基本参数（</w:t>
            </w:r>
            <w:r>
              <w:rPr>
                <w:rFonts w:hint="eastAsia" w:ascii="宋体" w:hAnsi="宋体" w:eastAsia="宋体" w:cs="宋体"/>
                <w:bCs/>
                <w:sz w:val="22"/>
                <w:szCs w:val="22"/>
                <w:lang w:val="en-US" w:eastAsia="zh-CN"/>
              </w:rPr>
              <w:t>绝热方式、设计压力、有效容积、</w:t>
            </w:r>
            <w:r>
              <w:rPr>
                <w:rFonts w:hint="eastAsia" w:ascii="宋体" w:hAnsi="宋体" w:eastAsia="宋体" w:cs="宋体"/>
                <w:bCs/>
                <w:sz w:val="22"/>
                <w:szCs w:val="22"/>
              </w:rPr>
              <w:t>受压元件材质</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设计使用年限</w:t>
            </w:r>
            <w:r>
              <w:rPr>
                <w:rFonts w:hint="eastAsia" w:ascii="宋体" w:hAnsi="宋体" w:eastAsia="宋体" w:cs="宋体"/>
                <w:bCs/>
                <w:sz w:val="22"/>
                <w:szCs w:val="22"/>
              </w:rPr>
              <w:t>等）</w:t>
            </w:r>
            <w:r>
              <w:rPr>
                <w:rFonts w:hint="eastAsia" w:cs="宋体"/>
                <w:bCs/>
                <w:sz w:val="22"/>
                <w:szCs w:val="22"/>
                <w:lang w:val="en-US" w:eastAsia="zh-CN"/>
              </w:rPr>
              <w:t>及交货期</w:t>
            </w:r>
            <w:r>
              <w:rPr>
                <w:rFonts w:hint="eastAsia" w:ascii="宋体" w:hAnsi="宋体" w:eastAsia="宋体" w:cs="宋体"/>
                <w:bCs/>
                <w:sz w:val="22"/>
                <w:szCs w:val="22"/>
                <w:lang w:eastAsia="zh-CN"/>
              </w:rPr>
              <w:t>。</w:t>
            </w:r>
          </w:p>
          <w:p w14:paraId="44A74DB5">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lang w:val="en-US" w:eastAsia="zh-CN"/>
              </w:rPr>
              <w:t>1</w:t>
            </w:r>
            <w:r>
              <w:rPr>
                <w:rFonts w:hint="eastAsia" w:cs="宋体"/>
                <w:bCs/>
                <w:sz w:val="22"/>
                <w:szCs w:val="22"/>
                <w:lang w:val="en-US" w:eastAsia="zh-CN"/>
              </w:rPr>
              <w:t>.</w:t>
            </w:r>
            <w:r>
              <w:rPr>
                <w:rFonts w:hint="eastAsia" w:ascii="宋体" w:hAnsi="宋体" w:eastAsia="宋体" w:cs="宋体"/>
                <w:bCs/>
                <w:sz w:val="22"/>
                <w:szCs w:val="22"/>
              </w:rPr>
              <w:t>优于技术要求</w:t>
            </w:r>
            <w:r>
              <w:rPr>
                <w:rFonts w:hint="eastAsia" w:cs="宋体"/>
                <w:bCs/>
                <w:sz w:val="22"/>
                <w:szCs w:val="22"/>
                <w:lang w:val="en-US" w:eastAsia="zh-CN"/>
              </w:rPr>
              <w:t>10</w:t>
            </w:r>
            <w:r>
              <w:rPr>
                <w:rFonts w:hint="eastAsia" w:ascii="宋体" w:hAnsi="宋体" w:eastAsia="宋体" w:cs="宋体"/>
                <w:bCs/>
                <w:sz w:val="22"/>
                <w:szCs w:val="22"/>
              </w:rPr>
              <w:t>～1</w:t>
            </w:r>
            <w:r>
              <w:rPr>
                <w:rFonts w:hint="eastAsia" w:cs="宋体"/>
                <w:bCs/>
                <w:sz w:val="22"/>
                <w:szCs w:val="22"/>
                <w:lang w:val="en-US" w:eastAsia="zh-CN"/>
              </w:rPr>
              <w:t>5</w:t>
            </w:r>
            <w:r>
              <w:rPr>
                <w:rFonts w:hint="eastAsia" w:ascii="宋体" w:hAnsi="宋体" w:eastAsia="宋体" w:cs="宋体"/>
                <w:bCs/>
                <w:sz w:val="22"/>
                <w:szCs w:val="22"/>
              </w:rPr>
              <w:t>分，</w:t>
            </w:r>
          </w:p>
          <w:p w14:paraId="0E17BE77">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lang w:val="en-US" w:eastAsia="zh-CN"/>
              </w:rPr>
              <w:t>2</w:t>
            </w:r>
            <w:r>
              <w:rPr>
                <w:rFonts w:hint="eastAsia" w:cs="宋体"/>
                <w:bCs/>
                <w:sz w:val="22"/>
                <w:szCs w:val="22"/>
                <w:lang w:val="en-US" w:eastAsia="zh-CN"/>
              </w:rPr>
              <w:t>.</w:t>
            </w:r>
            <w:r>
              <w:rPr>
                <w:rFonts w:hint="eastAsia" w:ascii="宋体" w:hAnsi="宋体" w:eastAsia="宋体" w:cs="宋体"/>
                <w:bCs/>
                <w:sz w:val="22"/>
                <w:szCs w:val="22"/>
              </w:rPr>
              <w:t>满足</w:t>
            </w:r>
            <w:r>
              <w:rPr>
                <w:rFonts w:hint="eastAsia" w:cs="宋体"/>
                <w:bCs/>
                <w:sz w:val="22"/>
                <w:szCs w:val="22"/>
                <w:lang w:val="en-US" w:eastAsia="zh-CN"/>
              </w:rPr>
              <w:t>8</w:t>
            </w:r>
            <w:r>
              <w:rPr>
                <w:rFonts w:hint="eastAsia" w:ascii="宋体" w:hAnsi="宋体" w:eastAsia="宋体" w:cs="宋体"/>
                <w:bCs/>
                <w:sz w:val="22"/>
                <w:szCs w:val="22"/>
              </w:rPr>
              <w:t>～</w:t>
            </w:r>
            <w:r>
              <w:rPr>
                <w:rFonts w:hint="eastAsia" w:cs="宋体"/>
                <w:bCs/>
                <w:sz w:val="22"/>
                <w:szCs w:val="22"/>
                <w:lang w:val="en-US" w:eastAsia="zh-CN"/>
              </w:rPr>
              <w:t>10</w:t>
            </w:r>
            <w:r>
              <w:rPr>
                <w:rFonts w:hint="eastAsia" w:ascii="宋体" w:hAnsi="宋体" w:eastAsia="宋体" w:cs="宋体"/>
                <w:bCs/>
                <w:sz w:val="22"/>
                <w:szCs w:val="22"/>
              </w:rPr>
              <w:t>分，</w:t>
            </w:r>
          </w:p>
          <w:p w14:paraId="24F0BF9A">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lang w:val="en-US" w:eastAsia="zh-CN"/>
              </w:rPr>
              <w:t>3</w:t>
            </w:r>
            <w:r>
              <w:rPr>
                <w:rFonts w:hint="eastAsia" w:cs="宋体"/>
                <w:bCs/>
                <w:sz w:val="22"/>
                <w:szCs w:val="22"/>
                <w:lang w:val="en-US" w:eastAsia="zh-CN"/>
              </w:rPr>
              <w:t>.</w:t>
            </w:r>
            <w:r>
              <w:rPr>
                <w:rFonts w:hint="eastAsia" w:ascii="宋体" w:hAnsi="宋体" w:eastAsia="宋体" w:cs="宋体"/>
                <w:bCs/>
                <w:sz w:val="22"/>
                <w:szCs w:val="22"/>
              </w:rPr>
              <w:t>出现一处不符合，此项不得分。</w:t>
            </w:r>
          </w:p>
        </w:tc>
      </w:tr>
      <w:tr w14:paraId="76D1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66347B23">
            <w:pPr>
              <w:tabs>
                <w:tab w:val="left" w:pos="945"/>
                <w:tab w:val="left" w:pos="1104"/>
                <w:tab w:val="left" w:pos="1155"/>
                <w:tab w:val="left" w:pos="1365"/>
              </w:tabs>
              <w:spacing w:line="360" w:lineRule="auto"/>
              <w:jc w:val="center"/>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2</w:t>
            </w:r>
          </w:p>
        </w:tc>
        <w:tc>
          <w:tcPr>
            <w:tcW w:w="1185" w:type="dxa"/>
            <w:tcBorders>
              <w:top w:val="single" w:color="auto" w:sz="4" w:space="0"/>
              <w:left w:val="single" w:color="auto" w:sz="4" w:space="0"/>
              <w:bottom w:val="single" w:color="auto" w:sz="4" w:space="0"/>
              <w:right w:val="single" w:color="auto" w:sz="4" w:space="0"/>
            </w:tcBorders>
            <w:vAlign w:val="center"/>
          </w:tcPr>
          <w:p w14:paraId="582312AD">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项目技术服务方案</w:t>
            </w:r>
          </w:p>
        </w:tc>
        <w:tc>
          <w:tcPr>
            <w:tcW w:w="783" w:type="dxa"/>
            <w:tcBorders>
              <w:top w:val="single" w:color="auto" w:sz="4" w:space="0"/>
              <w:left w:val="single" w:color="auto" w:sz="4" w:space="0"/>
              <w:bottom w:val="single" w:color="auto" w:sz="4" w:space="0"/>
              <w:right w:val="single" w:color="auto" w:sz="4" w:space="0"/>
            </w:tcBorders>
            <w:vAlign w:val="center"/>
          </w:tcPr>
          <w:p w14:paraId="502754E4">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lang w:val="en-US" w:eastAsia="zh-CN"/>
              </w:rPr>
              <w:t>2</w:t>
            </w:r>
            <w:r>
              <w:rPr>
                <w:rFonts w:hint="eastAsia" w:ascii="宋体" w:hAnsi="宋体" w:eastAsia="宋体" w:cs="宋体"/>
                <w:bCs/>
                <w:sz w:val="22"/>
                <w:szCs w:val="22"/>
              </w:rPr>
              <w:t>5分</w:t>
            </w:r>
          </w:p>
        </w:tc>
        <w:tc>
          <w:tcPr>
            <w:tcW w:w="7269" w:type="dxa"/>
            <w:tcBorders>
              <w:top w:val="single" w:color="auto" w:sz="4" w:space="0"/>
              <w:left w:val="single" w:color="auto" w:sz="4" w:space="0"/>
              <w:bottom w:val="single" w:color="auto" w:sz="4" w:space="0"/>
              <w:right w:val="single" w:color="auto" w:sz="4" w:space="0"/>
            </w:tcBorders>
            <w:vAlign w:val="center"/>
          </w:tcPr>
          <w:p w14:paraId="596240CC">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投标人须提供针对本项目的技术服务方案，根据服务方案的科学性、合理性、完整性及可执行性进行评价。</w:t>
            </w:r>
          </w:p>
          <w:p w14:paraId="508ABAEC">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1</w:t>
            </w:r>
            <w:r>
              <w:rPr>
                <w:rFonts w:hint="eastAsia" w:cs="宋体"/>
                <w:bCs/>
                <w:sz w:val="22"/>
                <w:szCs w:val="22"/>
                <w:lang w:val="en-US" w:eastAsia="zh-CN"/>
              </w:rPr>
              <w:t>.</w:t>
            </w:r>
            <w:r>
              <w:rPr>
                <w:rFonts w:hint="eastAsia" w:ascii="宋体" w:hAnsi="宋体" w:eastAsia="宋体" w:cs="宋体"/>
                <w:bCs/>
                <w:sz w:val="22"/>
                <w:szCs w:val="22"/>
              </w:rPr>
              <w:t>方案完整,</w:t>
            </w:r>
            <w:r>
              <w:rPr>
                <w:rFonts w:hint="eastAsia" w:ascii="宋体" w:hAnsi="宋体" w:eastAsia="宋体" w:cs="宋体"/>
                <w:bCs/>
                <w:sz w:val="22"/>
                <w:szCs w:val="22"/>
                <w:lang w:val="en-US" w:eastAsia="zh-CN"/>
              </w:rPr>
              <w:t>安装可靠便捷，安全文明施工内容齐全，</w:t>
            </w:r>
            <w:r>
              <w:rPr>
                <w:rFonts w:hint="eastAsia" w:ascii="宋体" w:hAnsi="宋体" w:eastAsia="宋体" w:cs="宋体"/>
                <w:bCs/>
                <w:sz w:val="22"/>
                <w:szCs w:val="22"/>
              </w:rPr>
              <w:t>逻辑清晰严谨,可执行性强得(</w:t>
            </w:r>
            <w:r>
              <w:rPr>
                <w:rFonts w:hint="eastAsia" w:ascii="宋体" w:hAnsi="宋体" w:eastAsia="宋体" w:cs="宋体"/>
                <w:bCs/>
                <w:sz w:val="22"/>
                <w:szCs w:val="22"/>
                <w:lang w:val="en-US" w:eastAsia="zh-CN"/>
              </w:rPr>
              <w:t>20</w:t>
            </w:r>
            <w:r>
              <w:rPr>
                <w:rFonts w:hint="eastAsia" w:ascii="宋体" w:hAnsi="宋体" w:eastAsia="宋体" w:cs="宋体"/>
                <w:bCs/>
                <w:sz w:val="22"/>
                <w:szCs w:val="22"/>
              </w:rPr>
              <w:t>-</w:t>
            </w:r>
            <w:r>
              <w:rPr>
                <w:rFonts w:hint="eastAsia" w:ascii="宋体" w:hAnsi="宋体" w:eastAsia="宋体" w:cs="宋体"/>
                <w:bCs/>
                <w:sz w:val="22"/>
                <w:szCs w:val="22"/>
                <w:lang w:val="en-US" w:eastAsia="zh-CN"/>
              </w:rPr>
              <w:t>25</w:t>
            </w:r>
            <w:r>
              <w:rPr>
                <w:rFonts w:hint="eastAsia" w:ascii="宋体" w:hAnsi="宋体" w:eastAsia="宋体" w:cs="宋体"/>
                <w:bCs/>
                <w:sz w:val="22"/>
                <w:szCs w:val="22"/>
              </w:rPr>
              <w:t>）分;</w:t>
            </w:r>
          </w:p>
          <w:p w14:paraId="2C29062D">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cs="宋体"/>
                <w:bCs/>
                <w:sz w:val="22"/>
                <w:szCs w:val="22"/>
                <w:lang w:val="en-US" w:eastAsia="zh-CN"/>
              </w:rPr>
              <w:t>.</w:t>
            </w:r>
            <w:r>
              <w:rPr>
                <w:rFonts w:hint="eastAsia" w:ascii="宋体" w:hAnsi="宋体" w:eastAsia="宋体" w:cs="宋体"/>
                <w:bCs/>
                <w:sz w:val="22"/>
                <w:szCs w:val="22"/>
              </w:rPr>
              <w:t>方案较完整,</w:t>
            </w:r>
            <w:r>
              <w:rPr>
                <w:rFonts w:hint="eastAsia" w:ascii="宋体" w:hAnsi="宋体" w:eastAsia="宋体" w:cs="宋体"/>
                <w:bCs/>
                <w:sz w:val="22"/>
                <w:szCs w:val="22"/>
                <w:lang w:val="en-US" w:eastAsia="zh-CN"/>
              </w:rPr>
              <w:t>满足安装要求，</w:t>
            </w:r>
            <w:r>
              <w:rPr>
                <w:rFonts w:hint="eastAsia" w:ascii="宋体" w:hAnsi="宋体" w:eastAsia="宋体" w:cs="宋体"/>
                <w:bCs/>
                <w:sz w:val="22"/>
                <w:szCs w:val="22"/>
              </w:rPr>
              <w:t>逻辑较清晰严谨,可执行性较强得(</w:t>
            </w:r>
            <w:r>
              <w:rPr>
                <w:rFonts w:hint="eastAsia" w:ascii="宋体" w:hAnsi="宋体" w:eastAsia="宋体" w:cs="宋体"/>
                <w:bCs/>
                <w:sz w:val="22"/>
                <w:szCs w:val="22"/>
                <w:lang w:val="en-US" w:eastAsia="zh-CN"/>
              </w:rPr>
              <w:t>15</w:t>
            </w:r>
            <w:r>
              <w:rPr>
                <w:rFonts w:hint="eastAsia" w:ascii="宋体" w:hAnsi="宋体" w:eastAsia="宋体" w:cs="宋体"/>
                <w:bCs/>
                <w:sz w:val="22"/>
                <w:szCs w:val="22"/>
              </w:rPr>
              <w:t>-</w:t>
            </w:r>
            <w:r>
              <w:rPr>
                <w:rFonts w:hint="eastAsia" w:ascii="宋体" w:hAnsi="宋体" w:eastAsia="宋体" w:cs="宋体"/>
                <w:bCs/>
                <w:sz w:val="22"/>
                <w:szCs w:val="22"/>
                <w:lang w:val="en-US" w:eastAsia="zh-CN"/>
              </w:rPr>
              <w:t>20</w:t>
            </w:r>
            <w:r>
              <w:rPr>
                <w:rFonts w:hint="eastAsia" w:ascii="宋体" w:hAnsi="宋体" w:eastAsia="宋体" w:cs="宋体"/>
                <w:bCs/>
                <w:sz w:val="22"/>
                <w:szCs w:val="22"/>
              </w:rPr>
              <w:t>）分;</w:t>
            </w:r>
          </w:p>
          <w:p w14:paraId="609A2B95">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3</w:t>
            </w:r>
            <w:r>
              <w:rPr>
                <w:rFonts w:hint="eastAsia" w:cs="宋体"/>
                <w:bCs/>
                <w:sz w:val="22"/>
                <w:szCs w:val="22"/>
                <w:lang w:val="en-US" w:eastAsia="zh-CN"/>
              </w:rPr>
              <w:t>.</w:t>
            </w:r>
            <w:r>
              <w:rPr>
                <w:rFonts w:hint="eastAsia" w:ascii="宋体" w:hAnsi="宋体" w:eastAsia="宋体" w:cs="宋体"/>
                <w:bCs/>
                <w:sz w:val="22"/>
                <w:szCs w:val="22"/>
              </w:rPr>
              <w:t>方案完整性、逻辑性和可执行性一般得(0-</w:t>
            </w:r>
            <w:r>
              <w:rPr>
                <w:rFonts w:hint="eastAsia" w:ascii="宋体" w:hAnsi="宋体" w:eastAsia="宋体" w:cs="宋体"/>
                <w:bCs/>
                <w:sz w:val="22"/>
                <w:szCs w:val="22"/>
                <w:lang w:val="en-US" w:eastAsia="zh-CN"/>
              </w:rPr>
              <w:t>15</w:t>
            </w:r>
            <w:r>
              <w:rPr>
                <w:rFonts w:hint="eastAsia" w:ascii="宋体" w:hAnsi="宋体" w:eastAsia="宋体" w:cs="宋体"/>
                <w:bCs/>
                <w:sz w:val="22"/>
                <w:szCs w:val="22"/>
              </w:rPr>
              <w:t>）分。</w:t>
            </w:r>
          </w:p>
          <w:p w14:paraId="05FCF77A">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4</w:t>
            </w:r>
            <w:r>
              <w:rPr>
                <w:rFonts w:hint="eastAsia" w:cs="宋体"/>
                <w:bCs/>
                <w:sz w:val="22"/>
                <w:szCs w:val="22"/>
                <w:lang w:val="en-US" w:eastAsia="zh-CN"/>
              </w:rPr>
              <w:t>.</w:t>
            </w:r>
            <w:r>
              <w:rPr>
                <w:rFonts w:hint="eastAsia" w:ascii="宋体" w:hAnsi="宋体" w:eastAsia="宋体" w:cs="宋体"/>
                <w:bCs/>
                <w:sz w:val="22"/>
                <w:szCs w:val="22"/>
              </w:rPr>
              <w:t>未提供得 0 分。</w:t>
            </w:r>
          </w:p>
        </w:tc>
      </w:tr>
      <w:tr w14:paraId="2854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674" w:type="dxa"/>
            <w:tcBorders>
              <w:top w:val="single" w:color="auto" w:sz="4" w:space="0"/>
              <w:left w:val="single" w:color="auto" w:sz="4" w:space="0"/>
              <w:right w:val="single" w:color="auto" w:sz="4" w:space="0"/>
            </w:tcBorders>
            <w:vAlign w:val="center"/>
          </w:tcPr>
          <w:p w14:paraId="52E9112A">
            <w:pPr>
              <w:tabs>
                <w:tab w:val="left" w:pos="945"/>
                <w:tab w:val="left" w:pos="1104"/>
                <w:tab w:val="left" w:pos="1155"/>
                <w:tab w:val="left" w:pos="1365"/>
              </w:tabs>
              <w:spacing w:line="360" w:lineRule="auto"/>
              <w:jc w:val="center"/>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3</w:t>
            </w:r>
          </w:p>
        </w:tc>
        <w:tc>
          <w:tcPr>
            <w:tcW w:w="1185" w:type="dxa"/>
            <w:tcBorders>
              <w:top w:val="single" w:color="auto" w:sz="4" w:space="0"/>
              <w:left w:val="single" w:color="auto" w:sz="4" w:space="0"/>
              <w:right w:val="single" w:color="auto" w:sz="4" w:space="0"/>
            </w:tcBorders>
            <w:vAlign w:val="center"/>
          </w:tcPr>
          <w:p w14:paraId="4DA3F94D">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项目售后服务方案</w:t>
            </w:r>
          </w:p>
        </w:tc>
        <w:tc>
          <w:tcPr>
            <w:tcW w:w="783" w:type="dxa"/>
            <w:tcBorders>
              <w:top w:val="single" w:color="auto" w:sz="4" w:space="0"/>
              <w:left w:val="single" w:color="auto" w:sz="4" w:space="0"/>
              <w:right w:val="single" w:color="auto" w:sz="4" w:space="0"/>
            </w:tcBorders>
            <w:vAlign w:val="center"/>
          </w:tcPr>
          <w:p w14:paraId="78A4B180">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lang w:val="en-US" w:eastAsia="zh-CN"/>
              </w:rPr>
              <w:t>10</w:t>
            </w:r>
            <w:r>
              <w:rPr>
                <w:rFonts w:hint="eastAsia" w:ascii="宋体" w:hAnsi="宋体" w:eastAsia="宋体" w:cs="宋体"/>
                <w:bCs/>
                <w:sz w:val="22"/>
                <w:szCs w:val="22"/>
              </w:rPr>
              <w:t>分</w:t>
            </w:r>
          </w:p>
        </w:tc>
        <w:tc>
          <w:tcPr>
            <w:tcW w:w="7269" w:type="dxa"/>
            <w:tcBorders>
              <w:top w:val="single" w:color="auto" w:sz="4" w:space="0"/>
              <w:left w:val="single" w:color="auto" w:sz="4" w:space="0"/>
              <w:right w:val="single" w:color="auto" w:sz="4" w:space="0"/>
            </w:tcBorders>
            <w:vAlign w:val="center"/>
          </w:tcPr>
          <w:p w14:paraId="554CA578">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针对本项目售后服务方案的完善程度和内容进行综合评审。</w:t>
            </w:r>
          </w:p>
          <w:p w14:paraId="5EC79F91">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1</w:t>
            </w:r>
            <w:r>
              <w:rPr>
                <w:rFonts w:hint="eastAsia" w:cs="宋体"/>
                <w:bCs/>
                <w:sz w:val="22"/>
                <w:szCs w:val="22"/>
                <w:lang w:val="en-US" w:eastAsia="zh-CN"/>
              </w:rPr>
              <w:t>.</w:t>
            </w:r>
            <w:r>
              <w:rPr>
                <w:rFonts w:hint="eastAsia" w:ascii="宋体" w:hAnsi="宋体" w:eastAsia="宋体" w:cs="宋体"/>
                <w:bCs/>
                <w:sz w:val="22"/>
                <w:szCs w:val="22"/>
              </w:rPr>
              <w:t>售后服务方案全面、合理、操作性强</w:t>
            </w:r>
            <w:r>
              <w:rPr>
                <w:rFonts w:hint="eastAsia" w:ascii="宋体" w:hAnsi="宋体" w:eastAsia="宋体" w:cs="宋体"/>
                <w:bCs/>
                <w:sz w:val="22"/>
                <w:szCs w:val="22"/>
                <w:lang w:eastAsia="zh-CN"/>
              </w:rPr>
              <w:t>，</w:t>
            </w:r>
            <w:r>
              <w:rPr>
                <w:rFonts w:hint="eastAsia" w:ascii="宋体" w:hAnsi="宋体" w:eastAsia="宋体" w:cs="宋体"/>
                <w:bCs/>
                <w:sz w:val="22"/>
                <w:szCs w:val="22"/>
              </w:rPr>
              <w:t>得(</w:t>
            </w:r>
            <w:r>
              <w:rPr>
                <w:rFonts w:hint="eastAsia" w:ascii="宋体" w:hAnsi="宋体" w:eastAsia="宋体" w:cs="宋体"/>
                <w:bCs/>
                <w:sz w:val="22"/>
                <w:szCs w:val="22"/>
                <w:lang w:val="en-US" w:eastAsia="zh-CN"/>
              </w:rPr>
              <w:t>8</w:t>
            </w:r>
            <w:r>
              <w:rPr>
                <w:rFonts w:hint="eastAsia" w:ascii="宋体" w:hAnsi="宋体" w:eastAsia="宋体" w:cs="宋体"/>
                <w:bCs/>
                <w:sz w:val="22"/>
                <w:szCs w:val="22"/>
              </w:rPr>
              <w:t>-1</w:t>
            </w:r>
            <w:r>
              <w:rPr>
                <w:rFonts w:hint="eastAsia" w:ascii="宋体" w:hAnsi="宋体" w:eastAsia="宋体" w:cs="宋体"/>
                <w:bCs/>
                <w:sz w:val="22"/>
                <w:szCs w:val="22"/>
                <w:lang w:val="en-US" w:eastAsia="zh-CN"/>
              </w:rPr>
              <w:t>0</w:t>
            </w:r>
            <w:r>
              <w:rPr>
                <w:rFonts w:hint="eastAsia" w:ascii="宋体" w:hAnsi="宋体" w:eastAsia="宋体" w:cs="宋体"/>
                <w:bCs/>
                <w:sz w:val="22"/>
                <w:szCs w:val="22"/>
              </w:rPr>
              <w:t>）分;</w:t>
            </w:r>
          </w:p>
          <w:p w14:paraId="4BC78D72">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cs="宋体"/>
                <w:bCs/>
                <w:sz w:val="22"/>
                <w:szCs w:val="22"/>
                <w:lang w:val="en-US" w:eastAsia="zh-CN"/>
              </w:rPr>
              <w:t>.</w:t>
            </w:r>
            <w:r>
              <w:rPr>
                <w:rFonts w:hint="eastAsia" w:ascii="宋体" w:hAnsi="宋体" w:eastAsia="宋体" w:cs="宋体"/>
                <w:bCs/>
                <w:sz w:val="22"/>
                <w:szCs w:val="22"/>
              </w:rPr>
              <w:t>售后服务方案较全面、较合理、操作性较强,得(5-</w:t>
            </w:r>
            <w:r>
              <w:rPr>
                <w:rFonts w:hint="eastAsia" w:ascii="宋体" w:hAnsi="宋体" w:eastAsia="宋体" w:cs="宋体"/>
                <w:bCs/>
                <w:sz w:val="22"/>
                <w:szCs w:val="22"/>
                <w:lang w:val="en-US" w:eastAsia="zh-CN"/>
              </w:rPr>
              <w:t>8</w:t>
            </w:r>
            <w:r>
              <w:rPr>
                <w:rFonts w:hint="eastAsia" w:ascii="宋体" w:hAnsi="宋体" w:eastAsia="宋体" w:cs="宋体"/>
                <w:bCs/>
                <w:sz w:val="22"/>
                <w:szCs w:val="22"/>
              </w:rPr>
              <w:t>）分;</w:t>
            </w:r>
          </w:p>
          <w:p w14:paraId="3E34DC84">
            <w:pPr>
              <w:tabs>
                <w:tab w:val="left" w:pos="945"/>
                <w:tab w:val="left" w:pos="1104"/>
                <w:tab w:val="left" w:pos="1155"/>
                <w:tab w:val="left" w:pos="1365"/>
              </w:tabs>
              <w:spacing w:line="360" w:lineRule="auto"/>
              <w:ind w:firstLine="440" w:firstLineChars="200"/>
              <w:jc w:val="both"/>
              <w:rPr>
                <w:rFonts w:hint="eastAsia" w:ascii="宋体" w:hAnsi="宋体" w:eastAsia="宋体" w:cs="宋体"/>
                <w:bCs/>
                <w:sz w:val="22"/>
                <w:szCs w:val="22"/>
              </w:rPr>
            </w:pPr>
            <w:r>
              <w:rPr>
                <w:rFonts w:hint="eastAsia" w:ascii="宋体" w:hAnsi="宋体" w:eastAsia="宋体" w:cs="宋体"/>
                <w:bCs/>
                <w:sz w:val="22"/>
                <w:szCs w:val="22"/>
              </w:rPr>
              <w:t>3</w:t>
            </w:r>
            <w:r>
              <w:rPr>
                <w:rFonts w:hint="eastAsia" w:cs="宋体"/>
                <w:bCs/>
                <w:sz w:val="22"/>
                <w:szCs w:val="22"/>
                <w:lang w:val="en-US" w:eastAsia="zh-CN"/>
              </w:rPr>
              <w:t>.</w:t>
            </w:r>
            <w:r>
              <w:rPr>
                <w:rFonts w:hint="eastAsia" w:ascii="宋体" w:hAnsi="宋体" w:eastAsia="宋体" w:cs="宋体"/>
                <w:bCs/>
                <w:sz w:val="22"/>
                <w:szCs w:val="22"/>
              </w:rPr>
              <w:t>售后服务方案不</w:t>
            </w:r>
            <w:r>
              <w:rPr>
                <w:rFonts w:hint="eastAsia" w:ascii="宋体" w:hAnsi="宋体" w:eastAsia="宋体" w:cs="宋体"/>
                <w:bCs/>
                <w:sz w:val="22"/>
                <w:szCs w:val="22"/>
                <w:lang w:val="en-US" w:eastAsia="zh-CN"/>
              </w:rPr>
              <w:t>全面</w:t>
            </w:r>
            <w:r>
              <w:rPr>
                <w:rFonts w:hint="eastAsia" w:ascii="宋体" w:hAnsi="宋体" w:eastAsia="宋体" w:cs="宋体"/>
                <w:bCs/>
                <w:sz w:val="22"/>
                <w:szCs w:val="22"/>
              </w:rPr>
              <w:t>、不合理、操作性一般,得(0-</w:t>
            </w:r>
            <w:r>
              <w:rPr>
                <w:rFonts w:hint="eastAsia" w:ascii="宋体" w:hAnsi="宋体" w:eastAsia="宋体" w:cs="宋体"/>
                <w:bCs/>
                <w:sz w:val="22"/>
                <w:szCs w:val="22"/>
                <w:lang w:val="en-US" w:eastAsia="zh-CN"/>
              </w:rPr>
              <w:t>5</w:t>
            </w:r>
            <w:r>
              <w:rPr>
                <w:rFonts w:hint="eastAsia" w:ascii="宋体" w:hAnsi="宋体" w:eastAsia="宋体" w:cs="宋体"/>
                <w:bCs/>
                <w:sz w:val="22"/>
                <w:szCs w:val="22"/>
              </w:rPr>
              <w:t>）分;</w:t>
            </w:r>
          </w:p>
          <w:p w14:paraId="698C39AB">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4</w:t>
            </w:r>
            <w:r>
              <w:rPr>
                <w:rFonts w:hint="eastAsia" w:cs="宋体"/>
                <w:bCs/>
                <w:sz w:val="22"/>
                <w:szCs w:val="22"/>
                <w:lang w:val="en-US" w:eastAsia="zh-CN"/>
              </w:rPr>
              <w:t>.</w:t>
            </w:r>
            <w:r>
              <w:rPr>
                <w:rFonts w:hint="eastAsia" w:ascii="宋体" w:hAnsi="宋体" w:eastAsia="宋体" w:cs="宋体"/>
                <w:bCs/>
                <w:sz w:val="22"/>
                <w:szCs w:val="22"/>
              </w:rPr>
              <w:t>未提供得 0 分。</w:t>
            </w:r>
          </w:p>
        </w:tc>
      </w:tr>
      <w:tr w14:paraId="6C29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911" w:type="dxa"/>
            <w:gridSpan w:val="4"/>
            <w:tcBorders>
              <w:top w:val="single" w:color="auto" w:sz="4" w:space="0"/>
              <w:left w:val="single" w:color="auto" w:sz="4" w:space="0"/>
              <w:right w:val="single" w:color="auto" w:sz="4" w:space="0"/>
            </w:tcBorders>
            <w:vAlign w:val="center"/>
          </w:tcPr>
          <w:p w14:paraId="635E7DC1">
            <w:pPr>
              <w:tabs>
                <w:tab w:val="left" w:pos="945"/>
                <w:tab w:val="left" w:pos="1104"/>
                <w:tab w:val="left" w:pos="1155"/>
                <w:tab w:val="left" w:pos="1365"/>
              </w:tabs>
              <w:spacing w:line="360" w:lineRule="auto"/>
              <w:ind w:firstLine="480" w:firstLineChars="200"/>
              <w:jc w:val="center"/>
              <w:rPr>
                <w:rFonts w:hint="eastAsia" w:ascii="宋体" w:hAnsi="宋体" w:eastAsia="宋体" w:cs="宋体"/>
                <w:bCs/>
              </w:rPr>
            </w:pPr>
          </w:p>
          <w:p w14:paraId="330D0B03">
            <w:pPr>
              <w:tabs>
                <w:tab w:val="left" w:pos="945"/>
                <w:tab w:val="left" w:pos="1104"/>
                <w:tab w:val="left" w:pos="1155"/>
                <w:tab w:val="left" w:pos="1365"/>
              </w:tabs>
              <w:spacing w:line="360" w:lineRule="auto"/>
              <w:jc w:val="center"/>
              <w:rPr>
                <w:rFonts w:hint="eastAsia" w:ascii="宋体" w:hAnsi="宋体" w:eastAsia="宋体" w:cs="宋体"/>
                <w:bCs/>
              </w:rPr>
            </w:pPr>
          </w:p>
          <w:p w14:paraId="2E90B73B">
            <w:pPr>
              <w:tabs>
                <w:tab w:val="left" w:pos="945"/>
                <w:tab w:val="left" w:pos="1104"/>
                <w:tab w:val="left" w:pos="1155"/>
                <w:tab w:val="left" w:pos="1365"/>
              </w:tabs>
              <w:spacing w:line="360" w:lineRule="auto"/>
              <w:jc w:val="center"/>
              <w:rPr>
                <w:rFonts w:hint="eastAsia" w:ascii="宋体" w:hAnsi="宋体" w:eastAsia="宋体" w:cs="宋体"/>
                <w:bCs/>
              </w:rPr>
            </w:pPr>
          </w:p>
          <w:p w14:paraId="6498AD61">
            <w:pPr>
              <w:tabs>
                <w:tab w:val="left" w:pos="945"/>
                <w:tab w:val="left" w:pos="1104"/>
                <w:tab w:val="left" w:pos="1155"/>
                <w:tab w:val="left" w:pos="1365"/>
              </w:tabs>
              <w:spacing w:line="360" w:lineRule="auto"/>
              <w:jc w:val="center"/>
              <w:rPr>
                <w:rFonts w:hint="eastAsia" w:ascii="宋体" w:hAnsi="宋体" w:eastAsia="宋体" w:cs="宋体"/>
                <w:bCs/>
              </w:rPr>
            </w:pPr>
            <w:r>
              <w:rPr>
                <w:rFonts w:hint="eastAsia" w:ascii="宋体" w:hAnsi="宋体" w:eastAsia="宋体" w:cs="宋体"/>
                <w:b/>
                <w:bCs w:val="0"/>
              </w:rPr>
              <w:t>商务部分</w:t>
            </w:r>
          </w:p>
        </w:tc>
      </w:tr>
      <w:tr w14:paraId="525E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74" w:type="dxa"/>
            <w:tcBorders>
              <w:top w:val="single" w:color="auto" w:sz="4" w:space="0"/>
              <w:left w:val="single" w:color="auto" w:sz="4" w:space="0"/>
              <w:right w:val="single" w:color="auto" w:sz="4" w:space="0"/>
            </w:tcBorders>
            <w:vAlign w:val="center"/>
          </w:tcPr>
          <w:p w14:paraId="34F10E23">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Cs/>
                <w:sz w:val="22"/>
                <w:szCs w:val="22"/>
              </w:rPr>
              <w:t>1</w:t>
            </w:r>
          </w:p>
        </w:tc>
        <w:tc>
          <w:tcPr>
            <w:tcW w:w="1185" w:type="dxa"/>
            <w:tcBorders>
              <w:top w:val="single" w:color="auto" w:sz="4" w:space="0"/>
              <w:left w:val="single" w:color="auto" w:sz="4" w:space="0"/>
              <w:right w:val="single" w:color="auto" w:sz="4" w:space="0"/>
            </w:tcBorders>
            <w:vAlign w:val="center"/>
          </w:tcPr>
          <w:p w14:paraId="462DF8C3">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投标报价</w:t>
            </w:r>
          </w:p>
        </w:tc>
        <w:tc>
          <w:tcPr>
            <w:tcW w:w="783" w:type="dxa"/>
            <w:tcBorders>
              <w:top w:val="single" w:color="auto" w:sz="4" w:space="0"/>
              <w:left w:val="single" w:color="auto" w:sz="4" w:space="0"/>
              <w:right w:val="single" w:color="auto" w:sz="4" w:space="0"/>
            </w:tcBorders>
            <w:vAlign w:val="center"/>
          </w:tcPr>
          <w:p w14:paraId="57AE5EE2">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lang w:val="en-US" w:eastAsia="zh-CN"/>
              </w:rPr>
              <w:t>30</w:t>
            </w:r>
            <w:bookmarkStart w:id="169" w:name="_GoBack"/>
            <w:bookmarkEnd w:id="169"/>
            <w:r>
              <w:rPr>
                <w:rFonts w:hint="eastAsia" w:ascii="宋体" w:hAnsi="宋体" w:eastAsia="宋体" w:cs="宋体"/>
                <w:bCs/>
                <w:sz w:val="22"/>
                <w:szCs w:val="22"/>
              </w:rPr>
              <w:t>分</w:t>
            </w:r>
          </w:p>
        </w:tc>
        <w:tc>
          <w:tcPr>
            <w:tcW w:w="7269" w:type="dxa"/>
            <w:tcBorders>
              <w:top w:val="single" w:color="auto" w:sz="4" w:space="0"/>
              <w:left w:val="single" w:color="auto" w:sz="4" w:space="0"/>
              <w:right w:val="single" w:color="auto" w:sz="4" w:space="0"/>
            </w:tcBorders>
            <w:vAlign w:val="center"/>
          </w:tcPr>
          <w:p w14:paraId="6E6B4D8C">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以满足</w:t>
            </w:r>
            <w:r>
              <w:rPr>
                <w:rFonts w:hint="eastAsia"/>
                <w:bCs/>
                <w:lang w:eastAsia="zh-CN"/>
              </w:rPr>
              <w:t>谈判</w:t>
            </w:r>
            <w:r>
              <w:rPr>
                <w:rFonts w:hint="eastAsia" w:ascii="宋体" w:hAnsi="宋体" w:eastAsia="宋体" w:cs="宋体"/>
                <w:bCs/>
                <w:sz w:val="22"/>
                <w:szCs w:val="22"/>
              </w:rPr>
              <w:t>文件要求且投标价格最低的投标报价为评标基准价；投标报价高于基准价的，统一按照下列公式计算：投标报价得分=（评标基准价/投标报价）×</w:t>
            </w:r>
            <w:r>
              <w:rPr>
                <w:rFonts w:hint="eastAsia" w:ascii="宋体" w:hAnsi="宋体" w:eastAsia="宋体" w:cs="宋体"/>
                <w:bCs/>
                <w:sz w:val="22"/>
                <w:szCs w:val="22"/>
                <w:lang w:val="en-US" w:eastAsia="zh-CN"/>
              </w:rPr>
              <w:t>3</w:t>
            </w:r>
            <w:r>
              <w:rPr>
                <w:rFonts w:hint="eastAsia" w:ascii="宋体" w:hAnsi="宋体" w:eastAsia="宋体" w:cs="宋体"/>
                <w:bCs/>
                <w:sz w:val="22"/>
                <w:szCs w:val="22"/>
              </w:rPr>
              <w:t>0（百分点保留2位小数点，得分保留2位小数，第三位四舍五入）。</w:t>
            </w:r>
          </w:p>
        </w:tc>
      </w:tr>
      <w:tr w14:paraId="23C2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03FDC154">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Cs/>
                <w:sz w:val="22"/>
                <w:szCs w:val="22"/>
              </w:rPr>
              <w:t>2</w:t>
            </w:r>
          </w:p>
        </w:tc>
        <w:tc>
          <w:tcPr>
            <w:tcW w:w="1185" w:type="dxa"/>
            <w:tcBorders>
              <w:top w:val="single" w:color="auto" w:sz="4" w:space="0"/>
              <w:left w:val="single" w:color="auto" w:sz="4" w:space="0"/>
              <w:bottom w:val="single" w:color="auto" w:sz="4" w:space="0"/>
              <w:right w:val="single" w:color="auto" w:sz="4" w:space="0"/>
            </w:tcBorders>
            <w:vAlign w:val="center"/>
          </w:tcPr>
          <w:p w14:paraId="115C1A6A">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相关业绩</w:t>
            </w:r>
          </w:p>
        </w:tc>
        <w:tc>
          <w:tcPr>
            <w:tcW w:w="783" w:type="dxa"/>
            <w:tcBorders>
              <w:top w:val="single" w:color="auto" w:sz="4" w:space="0"/>
              <w:left w:val="single" w:color="auto" w:sz="4" w:space="0"/>
              <w:bottom w:val="single" w:color="auto" w:sz="4" w:space="0"/>
              <w:right w:val="single" w:color="auto" w:sz="4" w:space="0"/>
            </w:tcBorders>
            <w:vAlign w:val="center"/>
          </w:tcPr>
          <w:p w14:paraId="7F3F4048">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1</w:t>
            </w:r>
            <w:r>
              <w:rPr>
                <w:rFonts w:hint="eastAsia" w:ascii="宋体" w:hAnsi="宋体" w:eastAsia="宋体" w:cs="宋体"/>
                <w:bCs/>
                <w:sz w:val="22"/>
                <w:szCs w:val="22"/>
                <w:lang w:val="en-US" w:eastAsia="zh-CN"/>
              </w:rPr>
              <w:t>0</w:t>
            </w:r>
            <w:r>
              <w:rPr>
                <w:rFonts w:hint="eastAsia" w:ascii="宋体" w:hAnsi="宋体" w:eastAsia="宋体" w:cs="宋体"/>
                <w:bCs/>
                <w:sz w:val="22"/>
                <w:szCs w:val="22"/>
              </w:rPr>
              <w:t>分</w:t>
            </w:r>
          </w:p>
        </w:tc>
        <w:tc>
          <w:tcPr>
            <w:tcW w:w="7269" w:type="dxa"/>
            <w:tcBorders>
              <w:top w:val="single" w:color="auto" w:sz="4" w:space="0"/>
              <w:left w:val="single" w:color="auto" w:sz="4" w:space="0"/>
              <w:bottom w:val="single" w:color="auto" w:sz="4" w:space="0"/>
              <w:right w:val="single" w:color="auto" w:sz="4" w:space="0"/>
            </w:tcBorders>
            <w:vAlign w:val="center"/>
          </w:tcPr>
          <w:p w14:paraId="2F607662">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近3年有相关服务案例的，每提供一份加2分，最高不超过1</w:t>
            </w:r>
            <w:r>
              <w:rPr>
                <w:rFonts w:hint="eastAsia" w:ascii="宋体" w:hAnsi="宋体" w:eastAsia="宋体" w:cs="宋体"/>
                <w:bCs/>
                <w:sz w:val="22"/>
                <w:szCs w:val="22"/>
                <w:lang w:val="en-US" w:eastAsia="zh-CN"/>
              </w:rPr>
              <w:t>0</w:t>
            </w:r>
            <w:r>
              <w:rPr>
                <w:rFonts w:hint="eastAsia" w:ascii="宋体" w:hAnsi="宋体" w:eastAsia="宋体" w:cs="宋体"/>
                <w:bCs/>
                <w:sz w:val="22"/>
                <w:szCs w:val="22"/>
              </w:rPr>
              <w:t>分。</w:t>
            </w:r>
          </w:p>
          <w:p w14:paraId="6F10749C">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业绩证明材料:提供合同关键页扫描件【合同首页、金额页(框架合同无具体金额予以认可)、体现合同主要内容页、签字盖章页】,框架合同应提供对应业绩订单或结算单(结算单,订单应加盖合同甲方的公章或使用部门章)。</w:t>
            </w:r>
          </w:p>
        </w:tc>
      </w:tr>
      <w:tr w14:paraId="5AF8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74" w:type="dxa"/>
            <w:tcBorders>
              <w:top w:val="single" w:color="auto" w:sz="4" w:space="0"/>
              <w:left w:val="single" w:color="auto" w:sz="4" w:space="0"/>
              <w:right w:val="single" w:color="auto" w:sz="4" w:space="0"/>
            </w:tcBorders>
            <w:vAlign w:val="center"/>
          </w:tcPr>
          <w:p w14:paraId="083F7805">
            <w:pPr>
              <w:tabs>
                <w:tab w:val="left" w:pos="945"/>
                <w:tab w:val="left" w:pos="1104"/>
                <w:tab w:val="left" w:pos="1155"/>
                <w:tab w:val="left" w:pos="1365"/>
              </w:tabs>
              <w:spacing w:line="360" w:lineRule="auto"/>
              <w:jc w:val="center"/>
              <w:rPr>
                <w:rFonts w:hint="eastAsia" w:ascii="宋体" w:hAnsi="宋体" w:eastAsia="宋体" w:cs="宋体"/>
                <w:bCs/>
                <w:sz w:val="22"/>
                <w:szCs w:val="22"/>
              </w:rPr>
            </w:pPr>
            <w:r>
              <w:rPr>
                <w:rFonts w:hint="eastAsia" w:ascii="宋体" w:hAnsi="宋体" w:eastAsia="宋体" w:cs="宋体"/>
                <w:bCs/>
                <w:sz w:val="22"/>
                <w:szCs w:val="22"/>
              </w:rPr>
              <w:t>3</w:t>
            </w:r>
          </w:p>
        </w:tc>
        <w:tc>
          <w:tcPr>
            <w:tcW w:w="1185" w:type="dxa"/>
            <w:tcBorders>
              <w:top w:val="single" w:color="auto" w:sz="4" w:space="0"/>
              <w:left w:val="single" w:color="auto" w:sz="4" w:space="0"/>
              <w:right w:val="single" w:color="auto" w:sz="4" w:space="0"/>
            </w:tcBorders>
            <w:vAlign w:val="center"/>
          </w:tcPr>
          <w:p w14:paraId="25A0DB43">
            <w:pPr>
              <w:tabs>
                <w:tab w:val="left" w:pos="945"/>
                <w:tab w:val="left" w:pos="1104"/>
                <w:tab w:val="left" w:pos="1155"/>
                <w:tab w:val="left" w:pos="1365"/>
              </w:tabs>
              <w:spacing w:line="360" w:lineRule="auto"/>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综合实力</w:t>
            </w:r>
          </w:p>
        </w:tc>
        <w:tc>
          <w:tcPr>
            <w:tcW w:w="783" w:type="dxa"/>
            <w:tcBorders>
              <w:top w:val="single" w:color="auto" w:sz="4" w:space="0"/>
              <w:left w:val="single" w:color="auto" w:sz="4" w:space="0"/>
              <w:right w:val="single" w:color="auto" w:sz="4" w:space="0"/>
            </w:tcBorders>
            <w:vAlign w:val="center"/>
          </w:tcPr>
          <w:p w14:paraId="32B7B4AD">
            <w:pPr>
              <w:tabs>
                <w:tab w:val="left" w:pos="945"/>
                <w:tab w:val="left" w:pos="1104"/>
                <w:tab w:val="left" w:pos="1155"/>
                <w:tab w:val="left" w:pos="1365"/>
              </w:tabs>
              <w:spacing w:line="360" w:lineRule="auto"/>
              <w:rPr>
                <w:rFonts w:hint="eastAsia" w:ascii="宋体" w:hAnsi="宋体" w:eastAsia="宋体" w:cs="宋体"/>
                <w:bCs/>
                <w:sz w:val="22"/>
                <w:szCs w:val="22"/>
              </w:rPr>
            </w:pPr>
            <w:r>
              <w:rPr>
                <w:rFonts w:hint="eastAsia" w:ascii="宋体" w:hAnsi="宋体" w:eastAsia="宋体" w:cs="宋体"/>
                <w:bCs/>
                <w:sz w:val="22"/>
                <w:szCs w:val="22"/>
              </w:rPr>
              <w:t>1</w:t>
            </w:r>
            <w:r>
              <w:rPr>
                <w:rFonts w:hint="eastAsia" w:ascii="宋体" w:hAnsi="宋体" w:eastAsia="宋体" w:cs="宋体"/>
                <w:bCs/>
                <w:sz w:val="22"/>
                <w:szCs w:val="22"/>
                <w:lang w:val="en-US" w:eastAsia="zh-CN"/>
              </w:rPr>
              <w:t>0</w:t>
            </w:r>
            <w:r>
              <w:rPr>
                <w:rFonts w:hint="eastAsia" w:ascii="宋体" w:hAnsi="宋体" w:eastAsia="宋体" w:cs="宋体"/>
                <w:bCs/>
                <w:sz w:val="22"/>
                <w:szCs w:val="22"/>
              </w:rPr>
              <w:t>分</w:t>
            </w:r>
          </w:p>
        </w:tc>
        <w:tc>
          <w:tcPr>
            <w:tcW w:w="7269" w:type="dxa"/>
            <w:tcBorders>
              <w:top w:val="single" w:color="auto" w:sz="4" w:space="0"/>
              <w:left w:val="single" w:color="auto" w:sz="4" w:space="0"/>
              <w:right w:val="single" w:color="auto" w:sz="4" w:space="0"/>
            </w:tcBorders>
            <w:vAlign w:val="center"/>
          </w:tcPr>
          <w:p w14:paraId="68EB5CD7">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包括</w:t>
            </w:r>
            <w:r>
              <w:rPr>
                <w:rFonts w:hint="eastAsia" w:ascii="宋体" w:hAnsi="宋体" w:eastAsia="宋体" w:cs="宋体"/>
                <w:bCs/>
                <w:sz w:val="22"/>
                <w:szCs w:val="22"/>
                <w:lang w:val="en-US" w:eastAsia="zh-CN"/>
              </w:rPr>
              <w:t>营业执照上的经营范围，</w:t>
            </w:r>
            <w:r>
              <w:rPr>
                <w:rFonts w:hint="eastAsia" w:ascii="宋体" w:hAnsi="宋体" w:eastAsia="宋体" w:cs="宋体"/>
                <w:bCs/>
                <w:sz w:val="22"/>
                <w:szCs w:val="22"/>
              </w:rPr>
              <w:t>企业注册资金，近3年财务报</w:t>
            </w:r>
            <w:r>
              <w:rPr>
                <w:rFonts w:hint="eastAsia" w:cs="宋体"/>
                <w:bCs/>
                <w:sz w:val="22"/>
                <w:szCs w:val="22"/>
                <w:lang w:val="en-US" w:eastAsia="zh-CN"/>
              </w:rPr>
              <w:t>告</w:t>
            </w:r>
            <w:r>
              <w:rPr>
                <w:rFonts w:hint="eastAsia" w:ascii="宋体" w:hAnsi="宋体" w:eastAsia="宋体" w:cs="宋体"/>
                <w:bCs/>
                <w:sz w:val="22"/>
                <w:szCs w:val="22"/>
              </w:rPr>
              <w:t>、特种设备生产许可证、体系证书等资质证明、获奖情况、售后服务措施、培训及保修等，</w:t>
            </w:r>
          </w:p>
          <w:p w14:paraId="3A9A6AB0">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1</w:t>
            </w:r>
            <w:r>
              <w:rPr>
                <w:rFonts w:hint="eastAsia" w:cs="宋体"/>
                <w:bCs/>
                <w:sz w:val="22"/>
                <w:szCs w:val="22"/>
                <w:lang w:val="en-US" w:eastAsia="zh-CN"/>
              </w:rPr>
              <w:t>.</w:t>
            </w:r>
            <w:r>
              <w:rPr>
                <w:rFonts w:hint="eastAsia" w:ascii="宋体" w:hAnsi="宋体" w:eastAsia="宋体" w:cs="宋体"/>
                <w:bCs/>
                <w:sz w:val="22"/>
                <w:szCs w:val="22"/>
              </w:rPr>
              <w:t>具备技术规范要求的相关资质完善得（</w:t>
            </w:r>
            <w:r>
              <w:rPr>
                <w:rFonts w:hint="eastAsia" w:ascii="宋体" w:hAnsi="宋体" w:eastAsia="宋体" w:cs="宋体"/>
                <w:bCs/>
                <w:sz w:val="22"/>
                <w:szCs w:val="22"/>
                <w:lang w:val="en-US" w:eastAsia="zh-CN"/>
              </w:rPr>
              <w:t>8</w:t>
            </w:r>
            <w:r>
              <w:rPr>
                <w:rFonts w:hint="eastAsia" w:ascii="宋体" w:hAnsi="宋体" w:eastAsia="宋体" w:cs="宋体"/>
                <w:bCs/>
                <w:sz w:val="22"/>
                <w:szCs w:val="22"/>
              </w:rPr>
              <w:t>-1</w:t>
            </w:r>
            <w:r>
              <w:rPr>
                <w:rFonts w:hint="eastAsia" w:ascii="宋体" w:hAnsi="宋体" w:eastAsia="宋体" w:cs="宋体"/>
                <w:bCs/>
                <w:sz w:val="22"/>
                <w:szCs w:val="22"/>
                <w:lang w:val="en-US" w:eastAsia="zh-CN"/>
              </w:rPr>
              <w:t>0</w:t>
            </w:r>
            <w:r>
              <w:rPr>
                <w:rFonts w:hint="eastAsia" w:ascii="宋体" w:hAnsi="宋体" w:eastAsia="宋体" w:cs="宋体"/>
                <w:bCs/>
                <w:sz w:val="22"/>
                <w:szCs w:val="22"/>
              </w:rPr>
              <w:t>分）</w:t>
            </w:r>
          </w:p>
          <w:p w14:paraId="4AB72DA4">
            <w:pPr>
              <w:tabs>
                <w:tab w:val="left" w:pos="945"/>
                <w:tab w:val="left" w:pos="1104"/>
                <w:tab w:val="left" w:pos="1155"/>
                <w:tab w:val="left" w:pos="1365"/>
              </w:tabs>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cs="宋体"/>
                <w:bCs/>
                <w:sz w:val="22"/>
                <w:szCs w:val="22"/>
                <w:lang w:val="en-US" w:eastAsia="zh-CN"/>
              </w:rPr>
              <w:t>.</w:t>
            </w:r>
            <w:r>
              <w:rPr>
                <w:rFonts w:hint="eastAsia" w:ascii="宋体" w:hAnsi="宋体" w:eastAsia="宋体" w:cs="宋体"/>
                <w:bCs/>
                <w:sz w:val="22"/>
                <w:szCs w:val="22"/>
              </w:rPr>
              <w:t>技术规范要求的相关资质一般的（0-</w:t>
            </w:r>
            <w:r>
              <w:rPr>
                <w:rFonts w:hint="eastAsia" w:ascii="宋体" w:hAnsi="宋体" w:eastAsia="宋体" w:cs="宋体"/>
                <w:bCs/>
                <w:sz w:val="22"/>
                <w:szCs w:val="22"/>
                <w:lang w:val="en-US" w:eastAsia="zh-CN"/>
              </w:rPr>
              <w:t>8</w:t>
            </w:r>
            <w:r>
              <w:rPr>
                <w:rFonts w:hint="eastAsia" w:ascii="宋体" w:hAnsi="宋体" w:eastAsia="宋体" w:cs="宋体"/>
                <w:bCs/>
                <w:sz w:val="22"/>
                <w:szCs w:val="22"/>
              </w:rPr>
              <w:t>分）</w:t>
            </w:r>
          </w:p>
        </w:tc>
      </w:tr>
    </w:tbl>
    <w:p w14:paraId="5142A578">
      <w:pPr>
        <w:tabs>
          <w:tab w:val="left" w:pos="945"/>
        </w:tabs>
        <w:spacing w:line="360" w:lineRule="auto"/>
        <w:ind w:firstLine="480" w:firstLineChars="200"/>
        <w:rPr>
          <w:rFonts w:hint="eastAsia" w:ascii="黑体" w:eastAsia="黑体"/>
          <w:bCs/>
        </w:rPr>
      </w:pPr>
      <w:r>
        <w:rPr>
          <w:rFonts w:hint="eastAsia" w:ascii="黑体" w:eastAsia="黑体"/>
          <w:bCs/>
        </w:rPr>
        <w:t>（八）</w:t>
      </w:r>
      <w:r>
        <w:rPr>
          <w:rFonts w:ascii="黑体" w:eastAsia="黑体"/>
          <w:bCs/>
        </w:rPr>
        <w:t>投标文件的澄清</w:t>
      </w:r>
      <w:bookmarkEnd w:id="68"/>
      <w:bookmarkEnd w:id="69"/>
      <w:bookmarkEnd w:id="70"/>
    </w:p>
    <w:p w14:paraId="0D1713C7">
      <w:pPr>
        <w:spacing w:line="360" w:lineRule="auto"/>
        <w:ind w:left="525"/>
        <w:rPr>
          <w:rFonts w:hint="eastAsia"/>
          <w:bCs/>
        </w:rPr>
      </w:pPr>
      <w:bookmarkStart w:id="71" w:name="_Toc28087"/>
      <w:bookmarkStart w:id="72" w:name="_Toc12965"/>
      <w:bookmarkStart w:id="73" w:name="_Toc3907"/>
      <w:r>
        <w:rPr>
          <w:rFonts w:hint="eastAsia"/>
          <w:bCs/>
          <w:lang w:val="en-US" w:eastAsia="zh-CN"/>
        </w:rPr>
        <w:t>1.</w:t>
      </w:r>
      <w:r>
        <w:rPr>
          <w:rFonts w:hint="eastAsia"/>
          <w:bCs/>
        </w:rPr>
        <w:t>在评标过程中，评标委员会认为需要，可要求投标单位对投标文件中的有关问题进行澄清或提供补充说明及有关资料，投标单位应按评标委员会的要求提供澄清资料并按要求签章，在规定的时间递交。答复中不得变更价格等实质性内容。</w:t>
      </w:r>
      <w:bookmarkEnd w:id="71"/>
      <w:bookmarkEnd w:id="72"/>
      <w:bookmarkEnd w:id="73"/>
    </w:p>
    <w:p w14:paraId="0A4F9141">
      <w:pPr>
        <w:spacing w:line="360" w:lineRule="auto"/>
        <w:ind w:left="525"/>
        <w:rPr>
          <w:rFonts w:hint="eastAsia"/>
          <w:bCs/>
        </w:rPr>
      </w:pPr>
      <w:r>
        <w:rPr>
          <w:rFonts w:hint="eastAsia"/>
          <w:bCs/>
          <w:lang w:val="en-US" w:eastAsia="zh-CN"/>
        </w:rPr>
        <w:t>2.</w:t>
      </w:r>
      <w:r>
        <w:rPr>
          <w:rFonts w:hint="eastAsia"/>
          <w:bCs/>
        </w:rPr>
        <w:t>答复将视为投标文件的组成部分。投标截止时间后，投标人对投标报价或其他实质性内容修正的函件和增加的任何优惠条件，一律不得作为评标、定标的依据。</w:t>
      </w:r>
    </w:p>
    <w:p w14:paraId="1C84C57A">
      <w:pPr>
        <w:spacing w:line="360" w:lineRule="auto"/>
        <w:ind w:left="525"/>
        <w:rPr>
          <w:rFonts w:hint="eastAsia"/>
          <w:bCs/>
        </w:rPr>
      </w:pPr>
      <w:r>
        <w:rPr>
          <w:rFonts w:hint="eastAsia"/>
          <w:bCs/>
          <w:lang w:val="en-US" w:eastAsia="zh-CN"/>
        </w:rPr>
        <w:t>3.</w:t>
      </w:r>
      <w:r>
        <w:rPr>
          <w:rFonts w:hint="eastAsia"/>
          <w:bCs/>
        </w:rPr>
        <w:t>在投标文件的审查、澄清、评价和比较以及授予合同过程中，投标单位对招标单位和评标组织成员施加影响的任何行为，都将导致取消其中标资格</w:t>
      </w:r>
      <w:r>
        <w:rPr>
          <w:bCs/>
        </w:rPr>
        <w:t>。</w:t>
      </w:r>
    </w:p>
    <w:p w14:paraId="47B0D81E">
      <w:pPr>
        <w:tabs>
          <w:tab w:val="left" w:pos="945"/>
        </w:tabs>
        <w:spacing w:line="360" w:lineRule="auto"/>
        <w:ind w:firstLine="480" w:firstLineChars="200"/>
        <w:rPr>
          <w:rFonts w:hint="eastAsia" w:ascii="黑体" w:eastAsia="黑体"/>
          <w:bCs/>
        </w:rPr>
      </w:pPr>
      <w:bookmarkStart w:id="74" w:name="_Toc318974227"/>
      <w:bookmarkStart w:id="75" w:name="_Toc17832"/>
      <w:bookmarkStart w:id="76" w:name="_Toc26761"/>
      <w:bookmarkStart w:id="77" w:name="_Toc28115"/>
      <w:r>
        <w:rPr>
          <w:rFonts w:hint="eastAsia" w:ascii="黑体" w:eastAsia="黑体"/>
          <w:bCs/>
        </w:rPr>
        <w:t>（九）</w:t>
      </w:r>
      <w:r>
        <w:rPr>
          <w:rFonts w:ascii="黑体" w:eastAsia="黑体"/>
          <w:bCs/>
        </w:rPr>
        <w:t>评标过程的保密及得分更正注意事项</w:t>
      </w:r>
      <w:bookmarkEnd w:id="74"/>
      <w:bookmarkEnd w:id="75"/>
      <w:bookmarkEnd w:id="76"/>
      <w:bookmarkEnd w:id="77"/>
    </w:p>
    <w:p w14:paraId="61E3A253">
      <w:pPr>
        <w:spacing w:line="360" w:lineRule="auto"/>
        <w:ind w:left="525"/>
        <w:rPr>
          <w:rFonts w:hint="eastAsia"/>
          <w:bCs/>
        </w:rPr>
      </w:pPr>
      <w:r>
        <w:rPr>
          <w:rFonts w:hint="eastAsia"/>
          <w:bCs/>
          <w:lang w:val="en-US" w:eastAsia="zh-CN"/>
        </w:rPr>
        <w:t>1.</w:t>
      </w:r>
      <w:r>
        <w:rPr>
          <w:bCs/>
        </w:rPr>
        <w:t>开标后，直至宣布授予中标人合同为止，凡属审查、澄清、评价和比较投标的有关的资料和授予合同的有关信息，都不得向投标人或该过程无关的其他人员泄漏。</w:t>
      </w:r>
    </w:p>
    <w:p w14:paraId="50FF4824">
      <w:pPr>
        <w:spacing w:line="360" w:lineRule="auto"/>
        <w:ind w:left="525"/>
        <w:rPr>
          <w:rFonts w:hint="eastAsia"/>
          <w:bCs/>
        </w:rPr>
      </w:pPr>
      <w:r>
        <w:rPr>
          <w:rFonts w:hint="eastAsia"/>
          <w:bCs/>
          <w:lang w:val="en-US" w:eastAsia="zh-CN"/>
        </w:rPr>
        <w:t>2.</w:t>
      </w:r>
      <w:r>
        <w:rPr>
          <w:bCs/>
        </w:rPr>
        <w:t>在投标文件的审查、澄清、评价和比较以及授予合同过程中,投标单位对招标单位和评标组织成员施加影响的任何行为，都将导致取消其中标资格。</w:t>
      </w:r>
    </w:p>
    <w:p w14:paraId="7509AD42">
      <w:pPr>
        <w:spacing w:line="360" w:lineRule="auto"/>
        <w:ind w:left="525"/>
        <w:rPr>
          <w:rFonts w:hint="eastAsia"/>
          <w:bCs/>
        </w:rPr>
      </w:pPr>
      <w:r>
        <w:rPr>
          <w:rFonts w:hint="eastAsia"/>
          <w:bCs/>
          <w:lang w:val="en-US" w:eastAsia="zh-CN"/>
        </w:rPr>
        <w:t>3.</w:t>
      </w:r>
      <w:r>
        <w:rPr>
          <w:rFonts w:hint="eastAsia"/>
          <w:bCs/>
        </w:rPr>
        <w:t>评标委员会</w:t>
      </w:r>
      <w:r>
        <w:rPr>
          <w:bCs/>
        </w:rPr>
        <w:t>在评审过程中，评分结果一般均以保留两位小数点记取，若中标结果出现并列或其他特殊情况难以依据得分确定中标人时，</w:t>
      </w:r>
      <w:r>
        <w:rPr>
          <w:rFonts w:hint="eastAsia"/>
          <w:bCs/>
        </w:rPr>
        <w:t>选</w:t>
      </w:r>
      <w:r>
        <w:rPr>
          <w:bCs/>
        </w:rPr>
        <w:t>择报价低的投标人优先中标；得分且投标报价相同的，按技术指标优劣顺序排列。</w:t>
      </w:r>
      <w:r>
        <w:rPr>
          <w:rFonts w:hint="eastAsia"/>
          <w:bCs/>
        </w:rPr>
        <w:t>对于投标报价是否低于项目成本价及其他情况由评标委员会讨论判定。</w:t>
      </w:r>
    </w:p>
    <w:p w14:paraId="7354A217">
      <w:pPr>
        <w:tabs>
          <w:tab w:val="left" w:pos="945"/>
        </w:tabs>
        <w:spacing w:line="360" w:lineRule="auto"/>
        <w:ind w:firstLine="480" w:firstLineChars="200"/>
        <w:rPr>
          <w:rFonts w:hint="eastAsia" w:ascii="黑体" w:eastAsia="黑体"/>
          <w:bCs/>
        </w:rPr>
      </w:pPr>
      <w:bookmarkStart w:id="78" w:name="_Toc19345"/>
      <w:bookmarkStart w:id="79" w:name="_Toc29273"/>
      <w:bookmarkStart w:id="80" w:name="_Toc18770"/>
      <w:r>
        <w:rPr>
          <w:rFonts w:hint="eastAsia" w:ascii="黑体" w:eastAsia="黑体"/>
          <w:bCs/>
        </w:rPr>
        <w:t>（十）定标：</w:t>
      </w:r>
      <w:bookmarkEnd w:id="78"/>
      <w:bookmarkEnd w:id="79"/>
      <w:bookmarkEnd w:id="80"/>
    </w:p>
    <w:p w14:paraId="510F73B7">
      <w:pPr>
        <w:tabs>
          <w:tab w:val="left" w:pos="525"/>
          <w:tab w:val="left" w:pos="945"/>
          <w:tab w:val="left" w:pos="1155"/>
        </w:tabs>
        <w:spacing w:line="360" w:lineRule="auto"/>
        <w:ind w:left="130" w:firstLine="480" w:firstLineChars="200"/>
        <w:rPr>
          <w:rFonts w:hint="eastAsia"/>
          <w:bCs/>
        </w:rPr>
      </w:pPr>
      <w:r>
        <w:rPr>
          <w:rFonts w:hint="eastAsia"/>
          <w:bCs/>
        </w:rPr>
        <w:t>1</w:t>
      </w:r>
      <w:r>
        <w:rPr>
          <w:rFonts w:hint="eastAsia"/>
          <w:bCs/>
          <w:lang w:val="en-US" w:eastAsia="zh-CN"/>
        </w:rPr>
        <w:t>.</w:t>
      </w:r>
      <w:r>
        <w:rPr>
          <w:rFonts w:hint="eastAsia"/>
          <w:bCs/>
        </w:rPr>
        <w:t>除投标人须知前附表规定评标委员会直接确定中标人外，招标人依据评标委员会推荐的中标候选人确定中标人。</w:t>
      </w:r>
    </w:p>
    <w:p w14:paraId="660F7DE4">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bCs/>
        </w:rPr>
        <w:t>2</w:t>
      </w:r>
      <w:r>
        <w:rPr>
          <w:rFonts w:hint="eastAsia"/>
          <w:bCs/>
          <w:lang w:val="en-US" w:eastAsia="zh-CN"/>
        </w:rPr>
        <w:t>.</w:t>
      </w:r>
      <w:r>
        <w:rPr>
          <w:rFonts w:hint="eastAsia"/>
          <w:bCs/>
        </w:rPr>
        <w:t>招标人应当确定排名第一的中标候选人为中标人。排名第一的中标候选人放弃中标、因不可抗力提出不能履行合同或者被查实存在影响中标结果的违法行为等情形，招标人可以确定排名第二的中标候选人为中标人或者重新招标。排名第二的中标候选人因前款规定的同</w:t>
      </w:r>
      <w:r>
        <w:rPr>
          <w:rFonts w:hint="eastAsia" w:ascii="宋体" w:hAnsi="宋体" w:eastAsia="宋体" w:cs="宋体"/>
          <w:bCs/>
        </w:rPr>
        <w:t>样原因不能签订合同的，招标人可以确定排名第三的中标候选人为中标人或者重新招标。</w:t>
      </w:r>
    </w:p>
    <w:p w14:paraId="737B57CC">
      <w:pPr>
        <w:tabs>
          <w:tab w:val="left" w:pos="525"/>
          <w:tab w:val="left" w:pos="945"/>
          <w:tab w:val="left" w:pos="1155"/>
        </w:tabs>
        <w:spacing w:line="360" w:lineRule="auto"/>
        <w:ind w:left="130" w:firstLine="480" w:firstLineChars="200"/>
        <w:rPr>
          <w:rFonts w:hint="eastAsia" w:ascii="宋体" w:hAnsi="宋体" w:eastAsia="宋体" w:cs="宋体"/>
          <w:bCs/>
        </w:rPr>
      </w:pPr>
      <w:bookmarkStart w:id="81" w:name="_Toc31148"/>
      <w:bookmarkStart w:id="82" w:name="_Toc12242"/>
      <w:bookmarkStart w:id="83" w:name="_Toc3630"/>
      <w:r>
        <w:rPr>
          <w:rFonts w:hint="eastAsia" w:ascii="宋体" w:hAnsi="宋体" w:eastAsia="宋体" w:cs="宋体"/>
          <w:bCs/>
        </w:rPr>
        <w:t>3</w:t>
      </w:r>
      <w:r>
        <w:rPr>
          <w:rFonts w:hint="eastAsia" w:cs="宋体"/>
          <w:bCs/>
          <w:lang w:val="en-US" w:eastAsia="zh-CN"/>
        </w:rPr>
        <w:t>.</w:t>
      </w:r>
      <w:r>
        <w:rPr>
          <w:rFonts w:hint="eastAsia" w:ascii="宋体" w:hAnsi="宋体" w:eastAsia="宋体" w:cs="宋体"/>
          <w:bCs/>
        </w:rPr>
        <w:t>投标人所递交的投标文件不予退还。</w:t>
      </w:r>
      <w:bookmarkEnd w:id="81"/>
      <w:bookmarkEnd w:id="82"/>
      <w:bookmarkEnd w:id="83"/>
    </w:p>
    <w:p w14:paraId="0A65C973">
      <w:pPr>
        <w:tabs>
          <w:tab w:val="left" w:pos="945"/>
        </w:tabs>
        <w:spacing w:line="360" w:lineRule="auto"/>
        <w:ind w:firstLine="480" w:firstLineChars="200"/>
        <w:rPr>
          <w:rFonts w:hint="eastAsia" w:ascii="黑体" w:hAnsi="宋体" w:eastAsia="黑体" w:cs="宋体"/>
          <w:bCs/>
        </w:rPr>
      </w:pPr>
      <w:r>
        <w:rPr>
          <w:rFonts w:hint="eastAsia" w:ascii="黑体" w:hAnsi="宋体" w:eastAsia="黑体" w:cs="宋体"/>
          <w:bCs/>
          <w:lang w:eastAsia="zh-CN"/>
        </w:rPr>
        <w:t>（</w:t>
      </w:r>
      <w:r>
        <w:rPr>
          <w:rFonts w:hint="eastAsia" w:ascii="黑体" w:hAnsi="宋体" w:eastAsia="黑体" w:cs="宋体"/>
          <w:bCs/>
          <w:lang w:val="en-US" w:eastAsia="zh-CN"/>
        </w:rPr>
        <w:t>十一</w:t>
      </w:r>
      <w:r>
        <w:rPr>
          <w:rFonts w:hint="eastAsia" w:ascii="黑体" w:hAnsi="宋体" w:eastAsia="黑体" w:cs="宋体"/>
          <w:bCs/>
          <w:lang w:eastAsia="zh-CN"/>
        </w:rPr>
        <w:t>）</w:t>
      </w:r>
      <w:r>
        <w:rPr>
          <w:rFonts w:hint="eastAsia" w:ascii="黑体" w:hAnsi="宋体" w:eastAsia="黑体" w:cs="宋体"/>
          <w:bCs/>
        </w:rPr>
        <w:t>中标通知书</w:t>
      </w:r>
    </w:p>
    <w:p w14:paraId="5A0B0CE6">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ascii="宋体" w:hAnsi="宋体" w:eastAsia="宋体" w:cs="宋体"/>
          <w:bCs/>
          <w:lang w:val="en-US" w:eastAsia="zh-CN"/>
        </w:rPr>
        <w:t>1</w:t>
      </w:r>
      <w:r>
        <w:rPr>
          <w:rFonts w:hint="eastAsia" w:cs="宋体"/>
          <w:bCs/>
          <w:lang w:val="en-US" w:eastAsia="zh-CN"/>
        </w:rPr>
        <w:t>.</w:t>
      </w:r>
      <w:r>
        <w:rPr>
          <w:rFonts w:hint="eastAsia" w:ascii="宋体" w:hAnsi="宋体" w:eastAsia="宋体" w:cs="宋体"/>
          <w:bCs/>
        </w:rPr>
        <w:t>在投标有效期期满之前，招标单位将以书面或传真形式通知中标人中标。中标单位在收到中标通知书后，应立即以书面或传真形式回复招标单位，收到中标通知书的日期(或传真日期)即为中标接受日。</w:t>
      </w:r>
    </w:p>
    <w:p w14:paraId="42838F6F">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ascii="宋体" w:hAnsi="宋体" w:eastAsia="宋体" w:cs="宋体"/>
          <w:bCs/>
          <w:lang w:val="en-US" w:eastAsia="zh-CN"/>
        </w:rPr>
        <w:t>2</w:t>
      </w:r>
      <w:r>
        <w:rPr>
          <w:rFonts w:hint="eastAsia" w:cs="宋体"/>
          <w:bCs/>
          <w:lang w:val="en-US" w:eastAsia="zh-CN"/>
        </w:rPr>
        <w:t>.</w:t>
      </w:r>
      <w:r>
        <w:rPr>
          <w:rFonts w:hint="eastAsia" w:ascii="宋体" w:hAnsi="宋体" w:eastAsia="宋体" w:cs="宋体"/>
          <w:bCs/>
        </w:rPr>
        <w:t>中标通知书将是合同的一个组成部分。</w:t>
      </w:r>
    </w:p>
    <w:p w14:paraId="37625ED7">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ascii="宋体" w:hAnsi="宋体" w:eastAsia="宋体" w:cs="宋体"/>
          <w:bCs/>
          <w:lang w:val="en-US" w:eastAsia="zh-CN"/>
        </w:rPr>
        <w:t>3</w:t>
      </w:r>
      <w:r>
        <w:rPr>
          <w:rFonts w:hint="eastAsia" w:cs="宋体"/>
          <w:bCs/>
          <w:lang w:val="en-US" w:eastAsia="zh-CN"/>
        </w:rPr>
        <w:t>.</w:t>
      </w:r>
      <w:r>
        <w:rPr>
          <w:rFonts w:hint="eastAsia" w:ascii="宋体" w:hAnsi="宋体" w:eastAsia="宋体" w:cs="宋体"/>
          <w:bCs/>
        </w:rPr>
        <w:t>在中标人按规定提交履约保证金后，招标单位将迅速通知未中标的投标人，并按照规定退还其投标保证金。</w:t>
      </w:r>
    </w:p>
    <w:p w14:paraId="61290253">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ascii="宋体" w:hAnsi="宋体" w:eastAsia="宋体" w:cs="宋体"/>
          <w:bCs/>
          <w:lang w:val="en-US" w:eastAsia="zh-CN"/>
        </w:rPr>
        <w:t>4</w:t>
      </w:r>
      <w:r>
        <w:rPr>
          <w:rFonts w:hint="eastAsia" w:cs="宋体"/>
          <w:bCs/>
          <w:lang w:val="en-US" w:eastAsia="zh-CN"/>
        </w:rPr>
        <w:t>.</w:t>
      </w:r>
      <w:r>
        <w:rPr>
          <w:rFonts w:hint="eastAsia" w:ascii="宋体" w:hAnsi="宋体" w:eastAsia="宋体" w:cs="宋体"/>
          <w:bCs/>
        </w:rPr>
        <w:t>招标单位对未中标原因不作任何解释。</w:t>
      </w:r>
    </w:p>
    <w:p w14:paraId="4B4D9B4A">
      <w:pPr>
        <w:tabs>
          <w:tab w:val="left" w:pos="945"/>
        </w:tabs>
        <w:spacing w:line="360" w:lineRule="auto"/>
        <w:ind w:firstLine="480" w:firstLineChars="200"/>
        <w:rPr>
          <w:rFonts w:hint="eastAsia" w:ascii="黑体" w:hAnsi="宋体" w:eastAsia="黑体" w:cs="宋体"/>
          <w:bCs/>
          <w:lang w:eastAsia="zh-CN"/>
        </w:rPr>
      </w:pPr>
      <w:r>
        <w:rPr>
          <w:rFonts w:hint="eastAsia" w:ascii="黑体" w:hAnsi="宋体" w:eastAsia="黑体" w:cs="宋体"/>
          <w:bCs/>
          <w:lang w:eastAsia="zh-CN"/>
        </w:rPr>
        <w:t>（</w:t>
      </w:r>
      <w:r>
        <w:rPr>
          <w:rFonts w:hint="eastAsia" w:ascii="黑体" w:hAnsi="宋体" w:eastAsia="黑体" w:cs="宋体"/>
          <w:bCs/>
          <w:lang w:val="en-US" w:eastAsia="zh-CN"/>
        </w:rPr>
        <w:t>十二</w:t>
      </w:r>
      <w:r>
        <w:rPr>
          <w:rFonts w:hint="eastAsia" w:ascii="黑体" w:hAnsi="宋体" w:eastAsia="黑体" w:cs="宋体"/>
          <w:bCs/>
          <w:lang w:eastAsia="zh-CN"/>
        </w:rPr>
        <w:t>）签订合同</w:t>
      </w:r>
    </w:p>
    <w:p w14:paraId="0E262FD7">
      <w:pPr>
        <w:tabs>
          <w:tab w:val="left" w:pos="525"/>
          <w:tab w:val="left" w:pos="945"/>
          <w:tab w:val="left" w:pos="1155"/>
        </w:tabs>
        <w:spacing w:line="360" w:lineRule="auto"/>
        <w:ind w:left="130" w:firstLine="480" w:firstLineChars="200"/>
        <w:rPr>
          <w:rFonts w:hint="eastAsia" w:ascii="宋体" w:hAnsi="宋体" w:eastAsia="宋体" w:cs="宋体"/>
          <w:bCs/>
          <w:lang w:eastAsia="zh-CN"/>
        </w:rPr>
      </w:pPr>
      <w:r>
        <w:rPr>
          <w:rFonts w:hint="eastAsia" w:ascii="宋体" w:hAnsi="宋体" w:eastAsia="宋体" w:cs="宋体"/>
          <w:bCs/>
        </w:rPr>
        <w:t xml:space="preserve"> </w:t>
      </w:r>
      <w:r>
        <w:rPr>
          <w:rFonts w:hint="eastAsia" w:ascii="宋体" w:hAnsi="宋体" w:eastAsia="宋体" w:cs="宋体"/>
          <w:bCs/>
          <w:lang w:val="en-US" w:eastAsia="zh-CN"/>
        </w:rPr>
        <w:t>1</w:t>
      </w:r>
      <w:r>
        <w:rPr>
          <w:rFonts w:hint="eastAsia" w:cs="宋体"/>
          <w:bCs/>
          <w:lang w:val="en-US" w:eastAsia="zh-CN"/>
        </w:rPr>
        <w:t>.</w:t>
      </w:r>
      <w:r>
        <w:rPr>
          <w:rFonts w:hint="eastAsia" w:ascii="宋体" w:hAnsi="宋体" w:eastAsia="宋体" w:cs="宋体"/>
          <w:bCs/>
        </w:rPr>
        <w:t>中标人按中标通知书中要求的时间、地点与买方签订合同。</w:t>
      </w:r>
    </w:p>
    <w:p w14:paraId="6293945B">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黑体" w:hAnsi="宋体" w:eastAsia="黑体" w:cs="宋体"/>
          <w:bCs/>
          <w:lang w:eastAsia="zh-CN"/>
        </w:rPr>
        <w:t>（</w:t>
      </w:r>
      <w:r>
        <w:rPr>
          <w:rFonts w:hint="eastAsia" w:ascii="黑体" w:hAnsi="宋体" w:eastAsia="黑体" w:cs="宋体"/>
          <w:bCs/>
          <w:lang w:val="en-US" w:eastAsia="zh-CN"/>
        </w:rPr>
        <w:t>十</w:t>
      </w:r>
      <w:r>
        <w:rPr>
          <w:rFonts w:hint="eastAsia" w:ascii="黑体" w:eastAsia="黑体" w:cs="宋体"/>
          <w:bCs/>
          <w:lang w:val="en-US" w:eastAsia="zh-CN"/>
        </w:rPr>
        <w:t>三</w:t>
      </w:r>
      <w:r>
        <w:rPr>
          <w:rFonts w:hint="eastAsia" w:ascii="黑体" w:hAnsi="宋体" w:eastAsia="黑体" w:cs="宋体"/>
          <w:bCs/>
          <w:lang w:eastAsia="zh-CN"/>
        </w:rPr>
        <w:t xml:space="preserve">）合同文件 </w:t>
      </w:r>
      <w:r>
        <w:rPr>
          <w:rFonts w:hint="eastAsia" w:ascii="宋体" w:hAnsi="宋体" w:eastAsia="宋体" w:cs="宋体"/>
          <w:bCs/>
        </w:rPr>
        <w:t xml:space="preserve">   </w:t>
      </w:r>
    </w:p>
    <w:p w14:paraId="1485C181">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除包括“</w:t>
      </w:r>
      <w:r>
        <w:rPr>
          <w:rFonts w:hint="eastAsia"/>
          <w:bCs/>
          <w:lang w:eastAsia="zh-CN"/>
        </w:rPr>
        <w:t>谈判</w:t>
      </w:r>
      <w:r>
        <w:rPr>
          <w:rFonts w:hint="eastAsia" w:ascii="宋体" w:hAnsi="宋体" w:eastAsia="宋体" w:cs="宋体"/>
          <w:bCs/>
        </w:rPr>
        <w:t>文件”规定的全部内容外，还应包括：</w:t>
      </w:r>
    </w:p>
    <w:p w14:paraId="3CC268D0">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cs="宋体"/>
          <w:bCs/>
          <w:lang w:val="en-US" w:eastAsia="zh-CN"/>
        </w:rPr>
        <w:t>1.</w:t>
      </w:r>
      <w:r>
        <w:rPr>
          <w:rFonts w:hint="eastAsia" w:ascii="宋体" w:hAnsi="宋体" w:eastAsia="宋体" w:cs="宋体"/>
          <w:bCs/>
        </w:rPr>
        <w:t>与招标有关的澄清、说明：</w:t>
      </w:r>
    </w:p>
    <w:p w14:paraId="5BF504D7">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cs="宋体"/>
          <w:bCs/>
          <w:lang w:val="en-US" w:eastAsia="zh-CN"/>
        </w:rPr>
        <w:t>2.</w:t>
      </w:r>
      <w:r>
        <w:rPr>
          <w:rFonts w:hint="eastAsia" w:ascii="宋体" w:hAnsi="宋体" w:eastAsia="宋体" w:cs="宋体"/>
          <w:bCs/>
        </w:rPr>
        <w:t>投标单位在投标时随同投标书递交的资料与附图；</w:t>
      </w:r>
    </w:p>
    <w:p w14:paraId="50145D66">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ascii="宋体" w:hAnsi="宋体" w:eastAsia="宋体" w:cs="宋体"/>
          <w:bCs/>
        </w:rPr>
        <w:t xml:space="preserve"> </w:t>
      </w:r>
      <w:r>
        <w:rPr>
          <w:rFonts w:hint="eastAsia" w:cs="宋体"/>
          <w:bCs/>
          <w:lang w:val="en-US" w:eastAsia="zh-CN"/>
        </w:rPr>
        <w:t>3.</w:t>
      </w:r>
      <w:r>
        <w:rPr>
          <w:rFonts w:hint="eastAsia" w:ascii="宋体" w:hAnsi="宋体" w:eastAsia="宋体" w:cs="宋体"/>
          <w:bCs/>
        </w:rPr>
        <w:t>在商谈本合同书时，双方共同签字的补充文件；</w:t>
      </w:r>
    </w:p>
    <w:p w14:paraId="1FB1B8A5">
      <w:pPr>
        <w:tabs>
          <w:tab w:val="left" w:pos="525"/>
          <w:tab w:val="left" w:pos="945"/>
          <w:tab w:val="left" w:pos="1155"/>
        </w:tabs>
        <w:spacing w:line="360" w:lineRule="auto"/>
        <w:ind w:firstLine="720" w:firstLineChars="300"/>
        <w:rPr>
          <w:rFonts w:hint="eastAsia" w:ascii="宋体" w:hAnsi="宋体" w:eastAsia="宋体" w:cs="宋体"/>
          <w:bCs/>
        </w:rPr>
      </w:pPr>
      <w:bookmarkStart w:id="84" w:name="OLE_LINK21"/>
      <w:r>
        <w:rPr>
          <w:rFonts w:hint="eastAsia" w:cs="宋体"/>
          <w:bCs/>
          <w:lang w:val="en-US" w:eastAsia="zh-CN"/>
        </w:rPr>
        <w:t>4.</w:t>
      </w:r>
      <w:r>
        <w:rPr>
          <w:rFonts w:hint="eastAsia" w:ascii="宋体" w:hAnsi="宋体" w:eastAsia="宋体" w:cs="宋体"/>
          <w:bCs/>
        </w:rPr>
        <w:t>中标人接到中标通知书之日起7</w:t>
      </w:r>
      <w:r>
        <w:rPr>
          <w:rFonts w:hint="eastAsia" w:cs="宋体"/>
          <w:bCs/>
          <w:lang w:eastAsia="zh-CN"/>
        </w:rPr>
        <w:t>日</w:t>
      </w:r>
      <w:r>
        <w:rPr>
          <w:rFonts w:hint="eastAsia" w:ascii="宋体" w:hAnsi="宋体" w:eastAsia="宋体" w:cs="宋体"/>
          <w:bCs/>
        </w:rPr>
        <w:t>内应派代表与招标人依据招标文件、投标文件，使用招标文件约定的的合同文本草拟服务合同。招标人和中标人应当自中标通知书发出之日起15</w:t>
      </w:r>
      <w:r>
        <w:rPr>
          <w:rFonts w:hint="eastAsia" w:cs="宋体"/>
          <w:bCs/>
          <w:lang w:eastAsia="zh-CN"/>
        </w:rPr>
        <w:t>日</w:t>
      </w:r>
      <w:r>
        <w:rPr>
          <w:rFonts w:hint="eastAsia" w:ascii="宋体" w:hAnsi="宋体" w:eastAsia="宋体" w:cs="宋体"/>
          <w:bCs/>
        </w:rPr>
        <w:t>内，根据招标文件和中标人的投标文件订立书面合同。中标人无正当理由拒签合同的，招标人取消其中标资格</w:t>
      </w:r>
    </w:p>
    <w:bookmarkEnd w:id="84"/>
    <w:p w14:paraId="619CF2AF">
      <w:pPr>
        <w:tabs>
          <w:tab w:val="left" w:pos="525"/>
          <w:tab w:val="left" w:pos="945"/>
          <w:tab w:val="left" w:pos="1155"/>
        </w:tabs>
        <w:spacing w:line="360" w:lineRule="auto"/>
        <w:ind w:left="130" w:firstLine="480" w:firstLineChars="200"/>
        <w:rPr>
          <w:rFonts w:hint="eastAsia" w:ascii="宋体" w:hAnsi="宋体" w:eastAsia="宋体" w:cs="宋体"/>
          <w:bCs/>
        </w:rPr>
      </w:pPr>
      <w:r>
        <w:rPr>
          <w:rFonts w:hint="eastAsia" w:cs="宋体"/>
          <w:bCs/>
          <w:lang w:val="en-US" w:eastAsia="zh-CN"/>
        </w:rPr>
        <w:t>5.</w:t>
      </w:r>
      <w:r>
        <w:rPr>
          <w:rFonts w:hint="eastAsia" w:ascii="宋体" w:hAnsi="宋体" w:eastAsia="宋体" w:cs="宋体"/>
          <w:bCs/>
        </w:rPr>
        <w:t>有关技术要求的补充内容。</w:t>
      </w:r>
    </w:p>
    <w:p w14:paraId="45344643">
      <w:pPr>
        <w:tabs>
          <w:tab w:val="left" w:pos="525"/>
          <w:tab w:val="left" w:pos="945"/>
          <w:tab w:val="left" w:pos="1155"/>
        </w:tabs>
        <w:spacing w:line="360" w:lineRule="auto"/>
        <w:ind w:left="130" w:firstLine="480" w:firstLineChars="200"/>
        <w:rPr>
          <w:rFonts w:hint="eastAsia" w:ascii="黑体" w:hAnsi="宋体" w:eastAsia="黑体" w:cs="宋体"/>
          <w:bCs/>
          <w:lang w:eastAsia="zh-CN"/>
        </w:rPr>
      </w:pPr>
      <w:bookmarkStart w:id="85" w:name="_Toc30625"/>
      <w:bookmarkStart w:id="86" w:name="_Toc21670"/>
      <w:bookmarkStart w:id="87" w:name="_Toc32598"/>
      <w:r>
        <w:rPr>
          <w:rFonts w:hint="eastAsia" w:ascii="黑体" w:hAnsi="宋体" w:eastAsia="黑体" w:cs="宋体"/>
          <w:bCs/>
          <w:lang w:eastAsia="zh-CN"/>
        </w:rPr>
        <w:t>（十</w:t>
      </w:r>
      <w:r>
        <w:rPr>
          <w:rFonts w:hint="eastAsia" w:ascii="黑体" w:eastAsia="黑体" w:cs="宋体"/>
          <w:bCs/>
          <w:lang w:val="en-US" w:eastAsia="zh-CN"/>
        </w:rPr>
        <w:t>四</w:t>
      </w:r>
      <w:r>
        <w:rPr>
          <w:rFonts w:hint="eastAsia" w:ascii="黑体" w:hAnsi="宋体" w:eastAsia="黑体" w:cs="宋体"/>
          <w:bCs/>
          <w:lang w:eastAsia="zh-CN"/>
        </w:rPr>
        <w:t>）中标无效的确认：</w:t>
      </w:r>
      <w:bookmarkEnd w:id="85"/>
      <w:bookmarkEnd w:id="86"/>
      <w:bookmarkEnd w:id="87"/>
    </w:p>
    <w:p w14:paraId="08FABEC8">
      <w:pPr>
        <w:numPr>
          <w:ilvl w:val="0"/>
          <w:numId w:val="0"/>
        </w:numPr>
        <w:tabs>
          <w:tab w:val="left" w:pos="420"/>
          <w:tab w:val="left" w:pos="945"/>
          <w:tab w:val="left" w:pos="1155"/>
        </w:tabs>
        <w:spacing w:line="360" w:lineRule="auto"/>
        <w:ind w:left="0" w:leftChars="0" w:firstLine="609" w:firstLineChars="254"/>
        <w:rPr>
          <w:rFonts w:hint="eastAsia"/>
          <w:bCs/>
        </w:rPr>
      </w:pPr>
      <w:r>
        <w:rPr>
          <w:rFonts w:hint="eastAsia"/>
          <w:bCs/>
          <w:lang w:val="en-US" w:eastAsia="zh-CN"/>
        </w:rPr>
        <w:t>1.</w:t>
      </w:r>
      <w:r>
        <w:rPr>
          <w:rFonts w:hint="eastAsia"/>
          <w:bCs/>
        </w:rPr>
        <w:t>提供虚假材料谋取中标的；</w:t>
      </w:r>
    </w:p>
    <w:p w14:paraId="6CF0CEAC">
      <w:pPr>
        <w:numPr>
          <w:ilvl w:val="0"/>
          <w:numId w:val="0"/>
        </w:numPr>
        <w:tabs>
          <w:tab w:val="left" w:pos="420"/>
          <w:tab w:val="left" w:pos="945"/>
          <w:tab w:val="left" w:pos="1155"/>
        </w:tabs>
        <w:spacing w:line="360" w:lineRule="auto"/>
        <w:ind w:left="660" w:leftChars="275" w:firstLine="0" w:firstLineChars="0"/>
        <w:rPr>
          <w:rFonts w:hint="eastAsia"/>
          <w:bCs/>
        </w:rPr>
      </w:pPr>
      <w:r>
        <w:rPr>
          <w:rFonts w:hint="eastAsia"/>
          <w:bCs/>
          <w:lang w:val="en-US" w:eastAsia="zh-CN"/>
        </w:rPr>
        <w:t>2.</w:t>
      </w:r>
      <w:r>
        <w:rPr>
          <w:rFonts w:hint="eastAsia"/>
          <w:bCs/>
        </w:rPr>
        <w:t>采取不正当手段诋毁、排挤其他投标人的；</w:t>
      </w:r>
    </w:p>
    <w:p w14:paraId="2AF645A6">
      <w:pPr>
        <w:numPr>
          <w:ilvl w:val="0"/>
          <w:numId w:val="0"/>
        </w:numPr>
        <w:tabs>
          <w:tab w:val="left" w:pos="420"/>
          <w:tab w:val="left" w:pos="945"/>
          <w:tab w:val="left" w:pos="1155"/>
        </w:tabs>
        <w:spacing w:line="360" w:lineRule="auto"/>
        <w:ind w:left="660" w:leftChars="275" w:firstLine="0" w:firstLineChars="0"/>
        <w:rPr>
          <w:rFonts w:hint="eastAsia"/>
          <w:bCs/>
        </w:rPr>
      </w:pPr>
      <w:r>
        <w:rPr>
          <w:rFonts w:hint="eastAsia"/>
          <w:bCs/>
          <w:lang w:val="en-US" w:eastAsia="zh-CN"/>
        </w:rPr>
        <w:t>3.</w:t>
      </w:r>
      <w:r>
        <w:rPr>
          <w:rFonts w:hint="eastAsia"/>
          <w:bCs/>
        </w:rPr>
        <w:t>与其他投标人恶意串通的；</w:t>
      </w:r>
    </w:p>
    <w:p w14:paraId="3E64385A">
      <w:pPr>
        <w:numPr>
          <w:ilvl w:val="0"/>
          <w:numId w:val="0"/>
        </w:numPr>
        <w:tabs>
          <w:tab w:val="left" w:pos="420"/>
          <w:tab w:val="left" w:pos="945"/>
          <w:tab w:val="left" w:pos="1155"/>
        </w:tabs>
        <w:spacing w:line="360" w:lineRule="auto"/>
        <w:ind w:left="660" w:leftChars="275" w:firstLine="0" w:firstLineChars="0"/>
        <w:rPr>
          <w:rFonts w:hint="eastAsia"/>
          <w:bCs/>
        </w:rPr>
      </w:pPr>
      <w:r>
        <w:rPr>
          <w:rFonts w:hint="eastAsia"/>
          <w:bCs/>
          <w:lang w:val="en-US" w:eastAsia="zh-CN"/>
        </w:rPr>
        <w:t>4.</w:t>
      </w:r>
      <w:r>
        <w:rPr>
          <w:rFonts w:hint="eastAsia"/>
          <w:bCs/>
        </w:rPr>
        <w:t>向招标人行贿或者提供其他不正当利益的；</w:t>
      </w:r>
    </w:p>
    <w:p w14:paraId="4B0C8720">
      <w:pPr>
        <w:numPr>
          <w:ilvl w:val="0"/>
          <w:numId w:val="0"/>
        </w:numPr>
        <w:tabs>
          <w:tab w:val="left" w:pos="420"/>
          <w:tab w:val="left" w:pos="945"/>
          <w:tab w:val="left" w:pos="1155"/>
        </w:tabs>
        <w:spacing w:line="360" w:lineRule="auto"/>
        <w:ind w:left="523" w:leftChars="218" w:firstLine="57" w:firstLineChars="24"/>
        <w:rPr>
          <w:rFonts w:hint="eastAsia"/>
          <w:bCs/>
        </w:rPr>
      </w:pPr>
      <w:r>
        <w:rPr>
          <w:rFonts w:hint="eastAsia"/>
          <w:bCs/>
          <w:lang w:val="en-US" w:eastAsia="zh-CN"/>
        </w:rPr>
        <w:t>5.</w:t>
      </w:r>
      <w:r>
        <w:rPr>
          <w:rFonts w:hint="eastAsia"/>
          <w:bCs/>
        </w:rPr>
        <w:t>在招标过程中与招标人进行协商谈判、不按照招标文件和中标人的投标文件订立合同，或者与招标人另行订立背离合同实质性内容的协议的；</w:t>
      </w:r>
    </w:p>
    <w:p w14:paraId="46A7908D">
      <w:pPr>
        <w:numPr>
          <w:ilvl w:val="0"/>
          <w:numId w:val="0"/>
        </w:numPr>
        <w:tabs>
          <w:tab w:val="left" w:pos="420"/>
          <w:tab w:val="left" w:pos="945"/>
          <w:tab w:val="left" w:pos="1155"/>
        </w:tabs>
        <w:spacing w:line="360" w:lineRule="auto"/>
        <w:ind w:left="638" w:leftChars="266" w:firstLine="0" w:firstLineChars="0"/>
        <w:rPr>
          <w:rFonts w:hint="eastAsia"/>
          <w:bCs/>
        </w:rPr>
      </w:pPr>
      <w:r>
        <w:rPr>
          <w:rFonts w:hint="eastAsia"/>
          <w:bCs/>
          <w:lang w:val="en-US" w:eastAsia="zh-CN"/>
        </w:rPr>
        <w:t>6.</w:t>
      </w:r>
      <w:r>
        <w:rPr>
          <w:rFonts w:hint="eastAsia"/>
          <w:bCs/>
        </w:rPr>
        <w:t>拒绝有关部门监督检查或者提供虚假情况的。</w:t>
      </w:r>
    </w:p>
    <w:p w14:paraId="4D41365E">
      <w:pPr>
        <w:rPr>
          <w:rFonts w:hint="eastAsia"/>
          <w:highlight w:val="none"/>
        </w:rPr>
      </w:pPr>
      <w:r>
        <w:br w:type="page"/>
      </w:r>
    </w:p>
    <w:p w14:paraId="4835C5B0">
      <w:pPr>
        <w:keepNext w:val="0"/>
        <w:keepLines w:val="0"/>
        <w:widowControl/>
        <w:suppressLineNumbers w:val="0"/>
        <w:jc w:val="center"/>
        <w:rPr>
          <w:rFonts w:hint="eastAsia"/>
          <w:b/>
          <w:bCs/>
          <w:sz w:val="44"/>
          <w:szCs w:val="44"/>
          <w:highlight w:val="none"/>
          <w:lang w:val="en-US" w:eastAsia="zh-CN"/>
        </w:rPr>
      </w:pPr>
      <w:bookmarkStart w:id="88" w:name="_Toc3707"/>
      <w:bookmarkStart w:id="89" w:name="_Toc5203"/>
      <w:bookmarkStart w:id="90" w:name="_Toc4874"/>
      <w:bookmarkStart w:id="91" w:name="_Toc2515"/>
      <w:bookmarkStart w:id="92" w:name="_Toc1568"/>
    </w:p>
    <w:p w14:paraId="59E1FE40">
      <w:pPr>
        <w:pStyle w:val="2"/>
        <w:numPr>
          <w:ilvl w:val="0"/>
          <w:numId w:val="0"/>
        </w:numPr>
        <w:bidi w:val="0"/>
        <w:ind w:leftChars="0"/>
        <w:jc w:val="center"/>
        <w:rPr>
          <w:rFonts w:hint="eastAsia"/>
          <w:b/>
          <w:bCs/>
          <w:sz w:val="44"/>
          <w:szCs w:val="44"/>
          <w:lang w:val="en-US" w:eastAsia="zh-CN"/>
        </w:rPr>
      </w:pPr>
      <w:bookmarkStart w:id="93" w:name="_Toc27442"/>
      <w:r>
        <w:rPr>
          <w:rFonts w:hint="eastAsia"/>
          <w:b/>
          <w:bCs/>
          <w:sz w:val="44"/>
          <w:szCs w:val="44"/>
          <w:lang w:val="en-US" w:eastAsia="zh-CN"/>
        </w:rPr>
        <w:t>第四章  合同条款及合同格式</w:t>
      </w:r>
      <w:bookmarkEnd w:id="93"/>
    </w:p>
    <w:p w14:paraId="63202DAD">
      <w:pPr>
        <w:keepNext w:val="0"/>
        <w:keepLines w:val="0"/>
        <w:widowControl/>
        <w:numPr>
          <w:ilvl w:val="0"/>
          <w:numId w:val="0"/>
        </w:numPr>
        <w:suppressLineNumbers w:val="0"/>
        <w:jc w:val="both"/>
        <w:rPr>
          <w:rFonts w:hint="eastAsia" w:ascii="宋体" w:hAnsi="宋体" w:eastAsia="宋体" w:cs="宋体"/>
          <w:b/>
          <w:bCs/>
          <w:color w:val="000000"/>
          <w:kern w:val="0"/>
          <w:sz w:val="43"/>
          <w:szCs w:val="43"/>
          <w:lang w:val="en-US" w:eastAsia="zh-CN" w:bidi="ar"/>
        </w:rPr>
      </w:pPr>
    </w:p>
    <w:p w14:paraId="45E8172F">
      <w:pPr>
        <w:keepNext w:val="0"/>
        <w:keepLines w:val="0"/>
        <w:widowControl/>
        <w:numPr>
          <w:ilvl w:val="0"/>
          <w:numId w:val="0"/>
        </w:numPr>
        <w:suppressLineNumbers w:val="0"/>
        <w:jc w:val="both"/>
        <w:rPr>
          <w:rFonts w:hint="eastAsia" w:ascii="宋体" w:hAnsi="宋体" w:eastAsia="宋体" w:cs="宋体"/>
          <w:b/>
          <w:bCs/>
          <w:color w:val="000000"/>
          <w:kern w:val="0"/>
          <w:sz w:val="43"/>
          <w:szCs w:val="43"/>
          <w:lang w:val="en-US" w:eastAsia="zh-CN" w:bidi="ar"/>
        </w:rPr>
      </w:pPr>
    </w:p>
    <w:p w14:paraId="7A3F7F77">
      <w:pPr>
        <w:jc w:val="center"/>
        <w:rPr>
          <w:rFonts w:hint="eastAsia" w:ascii="宋体" w:hAnsi="宋体" w:eastAsia="宋体" w:cs="宋体"/>
          <w:b/>
          <w:sz w:val="44"/>
          <w:szCs w:val="44"/>
          <w:lang w:val="en-US" w:eastAsia="zh-CN" w:bidi="ar-SA"/>
        </w:rPr>
      </w:pPr>
      <w:r>
        <w:rPr>
          <w:rFonts w:hint="eastAsia" w:ascii="宋体" w:hAnsi="宋体" w:eastAsia="宋体" w:cs="宋体"/>
          <w:b/>
          <w:sz w:val="44"/>
          <w:szCs w:val="44"/>
          <w:lang w:val="en-US" w:eastAsia="zh-CN" w:bidi="ar-SA"/>
        </w:rPr>
        <w:t>设 备 采 购 合 同</w:t>
      </w:r>
    </w:p>
    <w:p w14:paraId="69252696">
      <w:pPr>
        <w:pStyle w:val="18"/>
        <w:keepNext w:val="0"/>
        <w:keepLines w:val="0"/>
        <w:pageBreakBefore w:val="0"/>
        <w:kinsoku/>
        <w:wordWrap/>
        <w:overflowPunct/>
        <w:topLinePunct w:val="0"/>
        <w:bidi w:val="0"/>
        <w:spacing w:afterAutospacing="0" w:line="520" w:lineRule="exact"/>
        <w:jc w:val="center"/>
        <w:rPr>
          <w:rFonts w:hint="eastAsia" w:asciiTheme="majorEastAsia" w:hAnsiTheme="majorEastAsia" w:eastAsiaTheme="majorEastAsia" w:cstheme="majorEastAsia"/>
          <w:b w:val="0"/>
          <w:bCs/>
          <w:color w:val="000000"/>
          <w:sz w:val="44"/>
          <w:szCs w:val="44"/>
          <w:lang w:val="en-US" w:eastAsia="zh-CN"/>
        </w:rPr>
      </w:pPr>
    </w:p>
    <w:p w14:paraId="75947CC1">
      <w:pPr>
        <w:spacing w:line="360" w:lineRule="auto"/>
        <w:ind w:left="0" w:leftChars="0" w:firstLine="1095" w:firstLineChars="365"/>
        <w:rPr>
          <w:rFonts w:hint="eastAsia" w:ascii="黑体" w:hAnsi="华文中宋" w:eastAsia="黑体" w:cs="宋体"/>
          <w:bCs/>
          <w:sz w:val="30"/>
          <w:szCs w:val="30"/>
          <w:lang w:val="en-US" w:eastAsia="zh-CN" w:bidi="ar-SA"/>
        </w:rPr>
      </w:pPr>
      <w:r>
        <w:rPr>
          <w:rFonts w:hint="eastAsia" w:ascii="黑体" w:hAnsi="华文中宋" w:eastAsia="黑体" w:cs="宋体"/>
          <w:bCs/>
          <w:sz w:val="30"/>
          <w:szCs w:val="30"/>
          <w:lang w:val="en-US" w:eastAsia="zh-CN" w:bidi="ar-SA"/>
        </w:rPr>
        <w:t xml:space="preserve">需 方（甲方）：                        合同编号：                                            </w:t>
      </w:r>
    </w:p>
    <w:p w14:paraId="0B5BC782">
      <w:pPr>
        <w:spacing w:line="360" w:lineRule="auto"/>
        <w:ind w:left="0" w:leftChars="0" w:firstLine="1095" w:firstLineChars="365"/>
        <w:rPr>
          <w:rFonts w:hint="eastAsia" w:ascii="黑体" w:hAnsi="华文中宋" w:eastAsia="黑体" w:cs="宋体"/>
          <w:bCs/>
          <w:sz w:val="30"/>
          <w:szCs w:val="30"/>
          <w:lang w:val="en-US" w:eastAsia="zh-CN" w:bidi="ar-SA"/>
        </w:rPr>
      </w:pPr>
      <w:r>
        <w:rPr>
          <w:rFonts w:hint="eastAsia" w:ascii="黑体" w:hAnsi="华文中宋" w:eastAsia="黑体" w:cs="宋体"/>
          <w:bCs/>
          <w:sz w:val="30"/>
          <w:szCs w:val="30"/>
          <w:lang w:val="en-US" w:eastAsia="zh-CN" w:bidi="ar-SA"/>
        </w:rPr>
        <w:t xml:space="preserve">供 方（乙方）：                        签订地点：                                                   </w:t>
      </w:r>
    </w:p>
    <w:p w14:paraId="37D98E43">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 xml:space="preserve">根据根据《中华人民共和国民法典》及相关法律法规及政策规定，甲、乙双方经友好协商，就设备采购事宜达成一致意见，签订本合同，以资双方共同遵守。  </w:t>
      </w:r>
    </w:p>
    <w:p w14:paraId="031E16A8">
      <w:pPr>
        <w:numPr>
          <w:ilvl w:val="0"/>
          <w:numId w:val="0"/>
        </w:numPr>
        <w:tabs>
          <w:tab w:val="left" w:pos="420"/>
          <w:tab w:val="left" w:pos="945"/>
          <w:tab w:val="left" w:pos="1155"/>
        </w:tabs>
        <w:spacing w:line="360" w:lineRule="auto"/>
        <w:ind w:left="0" w:leftChars="0" w:firstLine="638" w:firstLineChars="266"/>
        <w:rPr>
          <w:rFonts w:hint="eastAsia" w:ascii="宋体" w:hAnsi="宋体" w:eastAsia="宋体" w:cs="宋体"/>
          <w:bCs/>
          <w:sz w:val="24"/>
          <w:szCs w:val="24"/>
          <w:lang w:val="en-US" w:eastAsia="zh-CN" w:bidi="ar-SA"/>
        </w:rPr>
      </w:pPr>
      <w:r>
        <w:rPr>
          <w:rFonts w:hint="eastAsia" w:ascii="宋体" w:hAnsi="宋体" w:eastAsia="宋体" w:cs="宋体"/>
          <w:b/>
          <w:bCs w:val="0"/>
          <w:sz w:val="24"/>
          <w:szCs w:val="24"/>
          <w:lang w:val="en-US" w:eastAsia="zh-CN" w:bidi="ar-SA"/>
        </w:rPr>
        <w:t>第一条</w:t>
      </w:r>
      <w:r>
        <w:rPr>
          <w:rFonts w:hint="eastAsia" w:ascii="宋体" w:hAnsi="宋体" w:eastAsia="宋体" w:cs="宋体"/>
          <w:bCs/>
          <w:sz w:val="24"/>
          <w:szCs w:val="24"/>
          <w:lang w:val="en-US" w:eastAsia="zh-CN" w:bidi="ar-SA"/>
        </w:rPr>
        <w:t xml:space="preserve"> 采购设备名称及明细（可附明细表）</w:t>
      </w:r>
    </w:p>
    <w:p w14:paraId="3D271569">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第二条 </w:t>
      </w:r>
      <w:r>
        <w:rPr>
          <w:rFonts w:hint="eastAsia" w:ascii="宋体" w:hAnsi="宋体" w:eastAsia="宋体" w:cs="宋体"/>
          <w:bCs/>
          <w:sz w:val="24"/>
          <w:szCs w:val="24"/>
          <w:lang w:val="en-US" w:eastAsia="zh-CN" w:bidi="ar-SA"/>
        </w:rPr>
        <w:t>交货时间、地点</w:t>
      </w:r>
    </w:p>
    <w:p w14:paraId="28D8BC49">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 xml:space="preserve">2.1交货时间：                                                    </w:t>
      </w:r>
    </w:p>
    <w:p w14:paraId="1C61FCE6">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 xml:space="preserve">2.2交货地点：由乙方送货至甲方指定地点。                                      </w:t>
      </w:r>
    </w:p>
    <w:p w14:paraId="3AD9330D">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第三条 </w:t>
      </w:r>
      <w:r>
        <w:rPr>
          <w:rFonts w:hint="eastAsia" w:ascii="宋体" w:hAnsi="宋体" w:eastAsia="宋体" w:cs="宋体"/>
          <w:bCs/>
          <w:sz w:val="24"/>
          <w:szCs w:val="24"/>
          <w:lang w:val="en-US" w:eastAsia="zh-CN" w:bidi="ar-SA"/>
        </w:rPr>
        <w:t>包装和运输</w:t>
      </w:r>
    </w:p>
    <w:p w14:paraId="409C66C3">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3.1除甲方有特殊要求以外，乙方可自行选择包装及运输方式，并承担相应的费用且对其运输货物的完好性负责；同时应采取防潮、防雨、防冻、防锈、防野蛮装卸等相应措施对货物进行包装，确保货物在正常作业和装卸条件下安全无损地运达合同指定地点；运输费用由乙方承担。</w:t>
      </w:r>
    </w:p>
    <w:p w14:paraId="78EA1061">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3.2乙方应在包装箱及每一附件上注明产品名称、型号、件数等，包装箱内应附有产品合格证、产品说明书和使用说明书，国家规定进行检验的产品必须有检验证书。</w:t>
      </w:r>
    </w:p>
    <w:p w14:paraId="06580866">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第四条  </w:t>
      </w:r>
      <w:r>
        <w:rPr>
          <w:rFonts w:hint="eastAsia" w:ascii="宋体" w:hAnsi="宋体" w:eastAsia="宋体" w:cs="宋体"/>
          <w:bCs/>
          <w:sz w:val="24"/>
          <w:szCs w:val="24"/>
          <w:lang w:val="en-US" w:eastAsia="zh-CN" w:bidi="ar-SA"/>
        </w:rPr>
        <w:t>风险和所有权转移</w:t>
      </w:r>
    </w:p>
    <w:p w14:paraId="14D2E4CD">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设备风险及所有权自交付之日起转移至甲方，即在本合同约定的时间、地点交付给甲方之前的风险由乙方承担，向甲方交付完成后的风险由甲方承担，但在交货时发现设备不符合本合同约定的，被拒绝接收的除外。乙方迟延交付时应承担迟延期间设备的风险责任。</w:t>
      </w:r>
    </w:p>
    <w:p w14:paraId="26B90EA8">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第五条 </w:t>
      </w:r>
      <w:r>
        <w:rPr>
          <w:rFonts w:hint="eastAsia" w:ascii="宋体" w:hAnsi="宋体" w:eastAsia="宋体" w:cs="宋体"/>
          <w:bCs/>
          <w:sz w:val="24"/>
          <w:szCs w:val="24"/>
          <w:lang w:val="en-US" w:eastAsia="zh-CN" w:bidi="ar-SA"/>
        </w:rPr>
        <w:t>技术要求、服务、质量担保</w:t>
      </w:r>
    </w:p>
    <w:p w14:paraId="0F024FA9">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5.1乙方所供设备的技术规格、技术参数及性能应与甲方提出的《技术规范》要求一致；若技术性能无特殊说明，则以国家有关部门最新颁布的标准及规范为准。</w:t>
      </w:r>
    </w:p>
    <w:p w14:paraId="6B81E2BA">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5.2乙方应指派技术人员到甲方现场进行免费的技术培训，直到达到甲方的培训人员熟练掌握为止。</w:t>
      </w:r>
    </w:p>
    <w:p w14:paraId="7886F7A2">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 xml:space="preserve">5.3质保期：自设备安装完毕验收合格之日起     个月为质保期。在质量保证期内，由于产品质量原因造成的零部件损坏，乙方应自收到甲方的通知之日起    日内无偿进行更换或维修，质保期重新计算。质保期内乙方应免费提供附件： （具体包括哪些附件应注明） 。质保期外，乙方需提供有偿的终身维修服务。 </w:t>
      </w:r>
    </w:p>
    <w:p w14:paraId="079550DF">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如果乙方在收到通知后    日内没有弥补缺陷，甲方可采取必要的补救措施，但其风险和费用将由乙方承担。维修期间，乙方应按</w:t>
      </w:r>
    </w:p>
    <w:p w14:paraId="4850CFA6">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元/日向甲方进行赔偿。</w:t>
      </w:r>
    </w:p>
    <w:p w14:paraId="38365A01">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5.4乙方保证所提供的产品为全新、未使用过的原装合格正品，表面和内部均无瑕疵，并符合国家有关安全生产、环境保护、职业健康、消防方面的法律、法规及行业标准；保证产品不会因设计、材料、工艺的原因而有任何的故障和缺陷；如有质量问题，甲方有权要求乙方退或换所购产品。</w:t>
      </w:r>
    </w:p>
    <w:p w14:paraId="69F201D8">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5.5乙方保证，甲方在使用本合同采购的产品时，免受第三方提出的侵犯其专利权、商标权或工业设计权的起诉。当任何第三方提出侵权索赔时，乙方应向第三方提出处理答复，并承担由此引起的一切法律上的和经济上的责任。</w:t>
      </w:r>
    </w:p>
    <w:p w14:paraId="38735560">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 xml:space="preserve">第六条 验收标准及验收 </w:t>
      </w:r>
    </w:p>
    <w:p w14:paraId="18E6A699">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6.1产品运达甲方指定地点后，按国家、行业标准及甲方提出的技术要求，由甲方组织相关部门联合现场验收，现场验收乙方需参加。如乙方因故不能参加现场验收，甲方在经过乙方验收许可后进行单方验收，乙方应认可甲方验收结果。</w:t>
      </w:r>
    </w:p>
    <w:p w14:paraId="6651854C">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6.2产品验收内容包括对设备名称、品牌、规格型号、数量、外观及随机资料、检验报告、配件、工器具等进行验收。上述验收内容不符合合同规定的，甲方有权拒收。该验收仅为甲方的初步检验，并不表明对质量的最终认可，不能免除乙方在合同项下的任何责任与义务。</w:t>
      </w:r>
    </w:p>
    <w:p w14:paraId="51D80F8B">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6.3乙方应将所提供产品的装箱清单、随机资料及配件、随机工具等交付给甲方，乙方不能完整交付货物及本款规定的单证和工具的,乙方应负责补齐，因此导致逾期交付的，由乙方承担相关违约责任。</w:t>
      </w:r>
    </w:p>
    <w:p w14:paraId="11A4D7B4">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第七条 </w:t>
      </w:r>
      <w:r>
        <w:rPr>
          <w:rFonts w:hint="eastAsia" w:ascii="宋体" w:hAnsi="宋体" w:eastAsia="宋体" w:cs="宋体"/>
          <w:bCs/>
          <w:sz w:val="24"/>
          <w:szCs w:val="24"/>
          <w:lang w:val="en-US" w:eastAsia="zh-CN" w:bidi="ar-SA"/>
        </w:rPr>
        <w:t>合同价款与支付</w:t>
      </w:r>
    </w:p>
    <w:p w14:paraId="68F71ABE">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7.1本合同价款为含税到货总价，合同价款总金额为人民币               元。与货物交付相关的安装、调试、技术协助、培训等技术服务以及包装、运输等附随服务的各项费用均已包括在合同价格内。 以上合同价格为固定价并已含税，乙方在签订合同时已充分考虑了合同履行期间的所有风险，承诺不以任何理由要求对合同价格进行调整。</w:t>
      </w:r>
    </w:p>
    <w:p w14:paraId="446EAE94">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7.2支付方式：合同签订后甲方预付 30 %预付款给乙方，货到现场验收合格后再付  30 % 的货款，乙方安装完毕验收合格后付合同总额  30%的货款。10% 留作质保金，质保期满后双方无异议时在    个工作日内（无息）付清。当货款付到 90% 时乙方给甲方开具全额增值税发票。</w:t>
      </w:r>
    </w:p>
    <w:p w14:paraId="015A2B71">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第八条  </w:t>
      </w:r>
      <w:r>
        <w:rPr>
          <w:rFonts w:hint="eastAsia" w:ascii="宋体" w:hAnsi="宋体" w:eastAsia="宋体" w:cs="宋体"/>
          <w:bCs/>
          <w:sz w:val="24"/>
          <w:szCs w:val="24"/>
          <w:lang w:val="en-US" w:eastAsia="zh-CN" w:bidi="ar-SA"/>
        </w:rPr>
        <w:t>合同解除</w:t>
      </w:r>
    </w:p>
    <w:p w14:paraId="2F99ED20">
      <w:pPr>
        <w:keepNext w:val="0"/>
        <w:keepLines w:val="0"/>
        <w:pageBreakBefore w:val="0"/>
        <w:kinsoku/>
        <w:overflowPunct/>
        <w:bidi w:val="0"/>
        <w:spacing w:line="480" w:lineRule="exact"/>
        <w:ind w:left="480" w:leftChars="20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1、双方协商一致可以解除。</w:t>
      </w:r>
    </w:p>
    <w:p w14:paraId="5D6CB202">
      <w:pPr>
        <w:keepNext w:val="0"/>
        <w:keepLines w:val="0"/>
        <w:pageBreakBefore w:val="0"/>
        <w:kinsoku/>
        <w:overflowPunct/>
        <w:bidi w:val="0"/>
        <w:spacing w:line="480" w:lineRule="exact"/>
        <w:ind w:left="480" w:leftChars="20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 xml:space="preserve">2、若乙方延迟交货超过（    ）天，甲方有权解除合同，并要求乙方承担违约责任。 </w:t>
      </w:r>
    </w:p>
    <w:p w14:paraId="407EE320">
      <w:pPr>
        <w:keepNext w:val="0"/>
        <w:keepLines w:val="0"/>
        <w:pageBreakBefore w:val="0"/>
        <w:kinsoku/>
        <w:overflowPunct/>
        <w:bidi w:val="0"/>
        <w:spacing w:line="480" w:lineRule="exact"/>
        <w:ind w:left="480" w:leftChars="200" w:firstLine="480" w:firstLineChars="200"/>
        <w:rPr>
          <w:rFonts w:hint="eastAsia" w:ascii="宋体" w:hAnsi="宋体" w:eastAsia="宋体" w:cs="宋体"/>
          <w:color w:val="auto"/>
          <w:kern w:val="0"/>
          <w:sz w:val="24"/>
          <w:szCs w:val="28"/>
          <w:highlight w:val="none"/>
          <w:lang w:val="en-US" w:eastAsia="zh-CN" w:bidi="zh-CN"/>
        </w:rPr>
      </w:pPr>
      <w:r>
        <w:rPr>
          <w:rFonts w:hint="eastAsia" w:ascii="宋体" w:hAnsi="宋体" w:eastAsia="宋体" w:cs="宋体"/>
          <w:color w:val="auto"/>
          <w:kern w:val="0"/>
          <w:sz w:val="24"/>
          <w:szCs w:val="28"/>
          <w:highlight w:val="none"/>
          <w:lang w:val="en-US" w:eastAsia="zh-CN" w:bidi="zh-CN"/>
        </w:rPr>
        <w:t>3、若甲方的生产经营发生重大变化，甲方可以提前    日书面通知乙方单方解除合同，双方互不承担违约责任。</w:t>
      </w:r>
    </w:p>
    <w:p w14:paraId="725D76AE">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第八条 </w:t>
      </w:r>
      <w:r>
        <w:rPr>
          <w:rFonts w:hint="eastAsia" w:ascii="宋体" w:hAnsi="宋体" w:eastAsia="宋体" w:cs="宋体"/>
          <w:bCs/>
          <w:sz w:val="24"/>
          <w:szCs w:val="24"/>
          <w:lang w:val="en-US" w:eastAsia="zh-CN" w:bidi="ar-SA"/>
        </w:rPr>
        <w:t>违约责任</w:t>
      </w:r>
    </w:p>
    <w:p w14:paraId="00D0DBF0">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8.1 本合同签订后，如乙方未能如期交货，则每延误一天向甲方支付合同总额 万分之五 的违约金。乙方支付违约金并不排除继续发货的责任。如果延期交货超过    日，甲方有权解除合同，乙方应向甲方支付合同总价30%的违约金，并赔偿因此给甲方造成的损失。违约金甲方有权在合同价款中直接扣除。</w:t>
      </w:r>
    </w:p>
    <w:p w14:paraId="456E5BA5">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8.2  乙方提供的设备不符合约定的技术标准的，乙方应向甲方支付违约金，违约金为合同总价的30%，甲方有权拒收和/或要求更换和/或解除合同，并要求赔偿由此给买方造成的一切损失（包括但不限于货款、运输、装车、另行采购增加的费用、诉讼费用等）。违约金甲方有权在合同价款中直接扣除。</w:t>
      </w:r>
    </w:p>
    <w:p w14:paraId="13394BBF">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8.3 甲方如无正当理由未按本合同约定向乙方付款，则每延误一天向乙方支付合同总额万分之五的违约金，违约金总额最高不超过合同应付款的百分之五。</w:t>
      </w:r>
    </w:p>
    <w:p w14:paraId="28471DF8">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第九条 </w:t>
      </w:r>
      <w:r>
        <w:rPr>
          <w:rFonts w:hint="eastAsia" w:ascii="宋体" w:hAnsi="宋体" w:eastAsia="宋体" w:cs="宋体"/>
          <w:bCs/>
          <w:sz w:val="24"/>
          <w:szCs w:val="24"/>
          <w:lang w:val="en-US" w:eastAsia="zh-CN" w:bidi="ar-SA"/>
        </w:rPr>
        <w:t>争议解决</w:t>
      </w:r>
    </w:p>
    <w:p w14:paraId="1E75399D">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因本合同发生的任何争议，双方应协商解决，协商不成的，任何一方均有权向甲方所在地人民法院提起诉讼。</w:t>
      </w:r>
    </w:p>
    <w:p w14:paraId="2A808A1C">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第十条 </w:t>
      </w:r>
      <w:r>
        <w:rPr>
          <w:rFonts w:hint="eastAsia" w:ascii="宋体" w:hAnsi="宋体" w:eastAsia="宋体" w:cs="宋体"/>
          <w:bCs/>
          <w:sz w:val="24"/>
          <w:szCs w:val="24"/>
          <w:lang w:val="en-US" w:eastAsia="zh-CN" w:bidi="ar-SA"/>
        </w:rPr>
        <w:t>不可抗力</w:t>
      </w:r>
    </w:p>
    <w:p w14:paraId="2D85EB28">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10.1任何一方由于不可抗力造成的部分或全部不能履行本合同时，不负责任。但迟延履行后发生不可抗力的，不能免除责任。</w:t>
      </w:r>
    </w:p>
    <w:p w14:paraId="245139D6">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10.2遇有不可抗力的一方，应在（三日）内将事件的情况以书面形式通知对方，并在事件发生后（十）日内，向对方提交合同不能履行或部分不能履行或需要延期履行理由的报告。</w:t>
      </w:r>
    </w:p>
    <w:p w14:paraId="52140FFD">
      <w:pPr>
        <w:numPr>
          <w:ilvl w:val="0"/>
          <w:numId w:val="0"/>
        </w:numPr>
        <w:tabs>
          <w:tab w:val="left" w:pos="420"/>
          <w:tab w:val="left" w:pos="945"/>
          <w:tab w:val="left" w:pos="1155"/>
        </w:tabs>
        <w:spacing w:line="360" w:lineRule="auto"/>
        <w:ind w:left="638" w:leftChars="266" w:firstLine="0" w:firstLineChars="0"/>
        <w:rPr>
          <w:rFonts w:hint="eastAsia" w:ascii="宋体" w:hAnsi="宋体" w:eastAsia="宋体" w:cs="宋体"/>
          <w:bCs/>
          <w:sz w:val="24"/>
          <w:szCs w:val="24"/>
          <w:lang w:val="en-US" w:eastAsia="zh-CN" w:bidi="ar-SA"/>
        </w:rPr>
      </w:pPr>
      <w:r>
        <w:rPr>
          <w:rFonts w:hint="eastAsia" w:ascii="宋体" w:hAnsi="宋体" w:eastAsia="宋体" w:cs="宋体"/>
          <w:b/>
          <w:bCs/>
          <w:sz w:val="24"/>
          <w:szCs w:val="24"/>
          <w:lang w:val="en-US" w:eastAsia="zh-CN" w:bidi="ar-SA"/>
        </w:rPr>
        <w:t xml:space="preserve">第十一条 </w:t>
      </w:r>
      <w:r>
        <w:rPr>
          <w:rFonts w:hint="eastAsia" w:ascii="宋体" w:hAnsi="宋体" w:eastAsia="宋体" w:cs="宋体"/>
          <w:bCs/>
          <w:sz w:val="24"/>
          <w:szCs w:val="24"/>
          <w:lang w:val="en-US" w:eastAsia="zh-CN" w:bidi="ar-SA"/>
        </w:rPr>
        <w:t>其他</w:t>
      </w:r>
    </w:p>
    <w:p w14:paraId="6659C66B">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11.1双方任何一方的住所（或营业场所）、税号、开户行及账号发生变更时，变更的一方应及时书面通知对方，如因未及时书面通知对方而造成的损失由未通知方全部负责。</w:t>
      </w:r>
    </w:p>
    <w:p w14:paraId="0C46E966">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11.2本合同未尽事宜，双方协商一致后可签订补充协议，补充协议是本合同的组成部分，与本合同具有同等法律效力。</w:t>
      </w:r>
    </w:p>
    <w:p w14:paraId="1EE68328">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11.3本合同自双方法定代表人或授权代表签字并加盖公章或合同专用章后生效。</w:t>
      </w:r>
    </w:p>
    <w:p w14:paraId="6E0D8C2D">
      <w:pPr>
        <w:numPr>
          <w:ilvl w:val="0"/>
          <w:numId w:val="0"/>
        </w:numPr>
        <w:tabs>
          <w:tab w:val="left" w:pos="420"/>
          <w:tab w:val="left" w:pos="945"/>
          <w:tab w:val="left" w:pos="1155"/>
        </w:tabs>
        <w:spacing w:line="360" w:lineRule="auto"/>
        <w:ind w:left="480" w:leftChars="200" w:firstLine="480" w:firstLineChars="200"/>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11.4本合同壹式    份，甲乙双方各执    份，每份均具有同等法律效力。</w:t>
      </w:r>
    </w:p>
    <w:tbl>
      <w:tblPr>
        <w:tblStyle w:val="3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3737"/>
        <w:gridCol w:w="3989"/>
      </w:tblGrid>
      <w:tr w14:paraId="2D6F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4" w:type="dxa"/>
            <w:tcBorders>
              <w:top w:val="single" w:color="auto" w:sz="4" w:space="0"/>
              <w:left w:val="single" w:color="auto" w:sz="4" w:space="0"/>
              <w:bottom w:val="single" w:color="auto" w:sz="4" w:space="0"/>
              <w:right w:val="single" w:color="auto" w:sz="4" w:space="0"/>
            </w:tcBorders>
            <w:vAlign w:val="center"/>
          </w:tcPr>
          <w:p w14:paraId="0C870F08">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737" w:type="dxa"/>
            <w:tcBorders>
              <w:top w:val="single" w:color="auto" w:sz="4" w:space="0"/>
              <w:left w:val="single" w:color="auto" w:sz="4" w:space="0"/>
              <w:bottom w:val="single" w:color="auto" w:sz="4" w:space="0"/>
              <w:right w:val="single" w:color="auto" w:sz="4" w:space="0"/>
            </w:tcBorders>
            <w:vAlign w:val="center"/>
          </w:tcPr>
          <w:p w14:paraId="3AFADAE8">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甲  方</w:t>
            </w:r>
          </w:p>
        </w:tc>
        <w:tc>
          <w:tcPr>
            <w:tcW w:w="3989" w:type="dxa"/>
            <w:tcBorders>
              <w:top w:val="single" w:color="auto" w:sz="4" w:space="0"/>
              <w:left w:val="single" w:color="auto" w:sz="4" w:space="0"/>
              <w:bottom w:val="single" w:color="auto" w:sz="4" w:space="0"/>
              <w:right w:val="single" w:color="auto" w:sz="4" w:space="0"/>
            </w:tcBorders>
            <w:vAlign w:val="center"/>
          </w:tcPr>
          <w:p w14:paraId="5B364904">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乙  方</w:t>
            </w:r>
          </w:p>
        </w:tc>
      </w:tr>
      <w:tr w14:paraId="1CC2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454" w:type="dxa"/>
            <w:tcBorders>
              <w:top w:val="single" w:color="auto" w:sz="4" w:space="0"/>
              <w:left w:val="single" w:color="auto" w:sz="4" w:space="0"/>
              <w:bottom w:val="single" w:color="auto" w:sz="4" w:space="0"/>
              <w:right w:val="single" w:color="auto" w:sz="4" w:space="0"/>
            </w:tcBorders>
            <w:vAlign w:val="center"/>
          </w:tcPr>
          <w:p w14:paraId="201D66FD">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盖章</w:t>
            </w:r>
          </w:p>
        </w:tc>
        <w:tc>
          <w:tcPr>
            <w:tcW w:w="3737" w:type="dxa"/>
            <w:tcBorders>
              <w:top w:val="single" w:color="auto" w:sz="4" w:space="0"/>
              <w:left w:val="single" w:color="auto" w:sz="4" w:space="0"/>
              <w:bottom w:val="single" w:color="auto" w:sz="4" w:space="0"/>
              <w:right w:val="single" w:color="auto" w:sz="4" w:space="0"/>
            </w:tcBorders>
            <w:vAlign w:val="center"/>
          </w:tcPr>
          <w:p w14:paraId="2233A20F">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 xml:space="preserve">  </w:t>
            </w:r>
          </w:p>
        </w:tc>
        <w:tc>
          <w:tcPr>
            <w:tcW w:w="3989" w:type="dxa"/>
            <w:tcBorders>
              <w:top w:val="single" w:color="auto" w:sz="4" w:space="0"/>
              <w:left w:val="single" w:color="auto" w:sz="4" w:space="0"/>
              <w:bottom w:val="single" w:color="auto" w:sz="4" w:space="0"/>
              <w:right w:val="single" w:color="auto" w:sz="4" w:space="0"/>
            </w:tcBorders>
            <w:vAlign w:val="center"/>
          </w:tcPr>
          <w:p w14:paraId="567D62E7">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 xml:space="preserve"> </w:t>
            </w:r>
          </w:p>
        </w:tc>
      </w:tr>
      <w:tr w14:paraId="398C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454" w:type="dxa"/>
            <w:tcBorders>
              <w:top w:val="single" w:color="auto" w:sz="4" w:space="0"/>
              <w:left w:val="single" w:color="auto" w:sz="4" w:space="0"/>
              <w:bottom w:val="single" w:color="auto" w:sz="4" w:space="0"/>
              <w:right w:val="single" w:color="auto" w:sz="4" w:space="0"/>
            </w:tcBorders>
            <w:vAlign w:val="center"/>
          </w:tcPr>
          <w:p w14:paraId="75AF0557">
            <w:pPr>
              <w:keepNext w:val="0"/>
              <w:keepLines w:val="0"/>
              <w:pageBreakBefore w:val="0"/>
              <w:widowControl w:val="0"/>
              <w:kinsoku/>
              <w:wordWrap/>
              <w:overflowPunct/>
              <w:topLinePunct w:val="0"/>
              <w:bidi w:val="0"/>
              <w:spacing w:afterAutospacing="0" w:line="520" w:lineRule="exact"/>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eastAsia="zh-CN"/>
              </w:rPr>
              <w:t>法定代表人</w:t>
            </w:r>
          </w:p>
        </w:tc>
        <w:tc>
          <w:tcPr>
            <w:tcW w:w="3737" w:type="dxa"/>
            <w:tcBorders>
              <w:top w:val="single" w:color="auto" w:sz="4" w:space="0"/>
              <w:left w:val="single" w:color="auto" w:sz="4" w:space="0"/>
              <w:bottom w:val="single" w:color="auto" w:sz="4" w:space="0"/>
              <w:right w:val="single" w:color="auto" w:sz="4" w:space="0"/>
            </w:tcBorders>
            <w:vAlign w:val="center"/>
          </w:tcPr>
          <w:p w14:paraId="6FE3912C">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20C0310B">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 xml:space="preserve"> </w:t>
            </w:r>
          </w:p>
        </w:tc>
      </w:tr>
      <w:tr w14:paraId="0CAF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4" w:type="dxa"/>
            <w:tcBorders>
              <w:top w:val="single" w:color="auto" w:sz="4" w:space="0"/>
              <w:left w:val="single" w:color="auto" w:sz="4" w:space="0"/>
              <w:bottom w:val="single" w:color="auto" w:sz="4" w:space="0"/>
              <w:right w:val="single" w:color="auto" w:sz="4" w:space="0"/>
            </w:tcBorders>
            <w:vAlign w:val="center"/>
          </w:tcPr>
          <w:p w14:paraId="7DA97A15">
            <w:pPr>
              <w:keepNext w:val="0"/>
              <w:keepLines w:val="0"/>
              <w:pageBreakBefore w:val="0"/>
              <w:widowControl w:val="0"/>
              <w:kinsoku/>
              <w:wordWrap/>
              <w:overflowPunct/>
              <w:topLinePunct w:val="0"/>
              <w:bidi w:val="0"/>
              <w:spacing w:afterAutospacing="0" w:line="520" w:lineRule="exact"/>
              <w:rPr>
                <w:rFonts w:hint="eastAsia" w:ascii="仿宋_GB2312" w:hAnsi="仿宋" w:eastAsia="仿宋_GB2312"/>
                <w:color w:val="000000"/>
                <w:sz w:val="24"/>
                <w:szCs w:val="24"/>
              </w:rPr>
            </w:pPr>
            <w:r>
              <w:rPr>
                <w:rFonts w:hint="eastAsia" w:ascii="仿宋_GB2312" w:hAnsi="仿宋" w:eastAsia="仿宋_GB2312"/>
                <w:color w:val="000000"/>
                <w:sz w:val="28"/>
                <w:szCs w:val="28"/>
                <w:lang w:eastAsia="zh-CN"/>
              </w:rPr>
              <w:t>委托代理人</w:t>
            </w:r>
          </w:p>
        </w:tc>
        <w:tc>
          <w:tcPr>
            <w:tcW w:w="3737" w:type="dxa"/>
            <w:tcBorders>
              <w:top w:val="single" w:color="auto" w:sz="4" w:space="0"/>
              <w:left w:val="single" w:color="auto" w:sz="4" w:space="0"/>
              <w:bottom w:val="single" w:color="auto" w:sz="4" w:space="0"/>
              <w:right w:val="single" w:color="auto" w:sz="4" w:space="0"/>
            </w:tcBorders>
            <w:vAlign w:val="center"/>
          </w:tcPr>
          <w:p w14:paraId="7FBCF184">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109CB150">
            <w:pPr>
              <w:keepNext w:val="0"/>
              <w:keepLines w:val="0"/>
              <w:pageBreakBefore w:val="0"/>
              <w:widowControl w:val="0"/>
              <w:kinsoku/>
              <w:wordWrap/>
              <w:overflowPunct/>
              <w:topLinePunct w:val="0"/>
              <w:bidi w:val="0"/>
              <w:spacing w:afterAutospacing="0" w:line="520" w:lineRule="exact"/>
              <w:rPr>
                <w:rFonts w:hint="eastAsia" w:ascii="仿宋_GB2312" w:hAnsi="仿宋" w:eastAsia="仿宋_GB2312"/>
                <w:color w:val="000000"/>
                <w:sz w:val="28"/>
                <w:szCs w:val="28"/>
              </w:rPr>
            </w:pPr>
          </w:p>
        </w:tc>
      </w:tr>
      <w:tr w14:paraId="3C6E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454" w:type="dxa"/>
            <w:tcBorders>
              <w:top w:val="single" w:color="auto" w:sz="4" w:space="0"/>
              <w:left w:val="single" w:color="auto" w:sz="4" w:space="0"/>
              <w:bottom w:val="single" w:color="auto" w:sz="4" w:space="0"/>
              <w:right w:val="single" w:color="auto" w:sz="4" w:space="0"/>
            </w:tcBorders>
            <w:vAlign w:val="center"/>
          </w:tcPr>
          <w:p w14:paraId="2D7B9A53">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地  址</w:t>
            </w:r>
          </w:p>
        </w:tc>
        <w:tc>
          <w:tcPr>
            <w:tcW w:w="3737" w:type="dxa"/>
            <w:tcBorders>
              <w:top w:val="single" w:color="auto" w:sz="4" w:space="0"/>
              <w:left w:val="single" w:color="auto" w:sz="4" w:space="0"/>
              <w:bottom w:val="single" w:color="auto" w:sz="4" w:space="0"/>
              <w:right w:val="single" w:color="auto" w:sz="4" w:space="0"/>
            </w:tcBorders>
            <w:vAlign w:val="center"/>
          </w:tcPr>
          <w:p w14:paraId="6A9B947B">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7277811B">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r>
      <w:tr w14:paraId="7493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54" w:type="dxa"/>
            <w:tcBorders>
              <w:top w:val="single" w:color="auto" w:sz="4" w:space="0"/>
              <w:left w:val="single" w:color="auto" w:sz="4" w:space="0"/>
              <w:bottom w:val="single" w:color="auto" w:sz="4" w:space="0"/>
              <w:right w:val="single" w:color="auto" w:sz="4" w:space="0"/>
            </w:tcBorders>
            <w:vAlign w:val="center"/>
          </w:tcPr>
          <w:p w14:paraId="1CA0F952">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邮  编</w:t>
            </w:r>
          </w:p>
        </w:tc>
        <w:tc>
          <w:tcPr>
            <w:tcW w:w="3737" w:type="dxa"/>
            <w:tcBorders>
              <w:top w:val="single" w:color="auto" w:sz="4" w:space="0"/>
              <w:left w:val="single" w:color="auto" w:sz="4" w:space="0"/>
              <w:bottom w:val="single" w:color="auto" w:sz="4" w:space="0"/>
              <w:right w:val="single" w:color="auto" w:sz="4" w:space="0"/>
            </w:tcBorders>
            <w:vAlign w:val="center"/>
          </w:tcPr>
          <w:p w14:paraId="07DBFB31">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430B6BAE">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7FD4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54" w:type="dxa"/>
            <w:tcBorders>
              <w:top w:val="single" w:color="auto" w:sz="4" w:space="0"/>
              <w:left w:val="single" w:color="auto" w:sz="4" w:space="0"/>
              <w:bottom w:val="single" w:color="auto" w:sz="4" w:space="0"/>
              <w:right w:val="single" w:color="auto" w:sz="4" w:space="0"/>
            </w:tcBorders>
            <w:vAlign w:val="center"/>
          </w:tcPr>
          <w:p w14:paraId="12914F1B">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联系人</w:t>
            </w:r>
          </w:p>
        </w:tc>
        <w:tc>
          <w:tcPr>
            <w:tcW w:w="3737" w:type="dxa"/>
            <w:tcBorders>
              <w:top w:val="single" w:color="auto" w:sz="4" w:space="0"/>
              <w:left w:val="single" w:color="auto" w:sz="4" w:space="0"/>
              <w:bottom w:val="single" w:color="auto" w:sz="4" w:space="0"/>
              <w:right w:val="single" w:color="auto" w:sz="4" w:space="0"/>
            </w:tcBorders>
            <w:vAlign w:val="center"/>
          </w:tcPr>
          <w:p w14:paraId="11A7A592">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7BF190D3">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0C40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54" w:type="dxa"/>
            <w:tcBorders>
              <w:top w:val="single" w:color="auto" w:sz="4" w:space="0"/>
              <w:left w:val="single" w:color="auto" w:sz="4" w:space="0"/>
              <w:bottom w:val="single" w:color="auto" w:sz="4" w:space="0"/>
              <w:right w:val="single" w:color="auto" w:sz="4" w:space="0"/>
            </w:tcBorders>
            <w:vAlign w:val="center"/>
          </w:tcPr>
          <w:p w14:paraId="455E496D">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电  话</w:t>
            </w:r>
          </w:p>
        </w:tc>
        <w:tc>
          <w:tcPr>
            <w:tcW w:w="3737" w:type="dxa"/>
            <w:tcBorders>
              <w:top w:val="single" w:color="auto" w:sz="4" w:space="0"/>
              <w:left w:val="single" w:color="auto" w:sz="4" w:space="0"/>
              <w:bottom w:val="single" w:color="auto" w:sz="4" w:space="0"/>
              <w:right w:val="single" w:color="auto" w:sz="4" w:space="0"/>
            </w:tcBorders>
            <w:vAlign w:val="center"/>
          </w:tcPr>
          <w:p w14:paraId="12CD1C3D">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2C8917A4">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48C1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54" w:type="dxa"/>
            <w:tcBorders>
              <w:top w:val="single" w:color="auto" w:sz="4" w:space="0"/>
              <w:left w:val="single" w:color="auto" w:sz="4" w:space="0"/>
              <w:bottom w:val="single" w:color="auto" w:sz="4" w:space="0"/>
              <w:right w:val="single" w:color="auto" w:sz="4" w:space="0"/>
            </w:tcBorders>
            <w:vAlign w:val="center"/>
          </w:tcPr>
          <w:p w14:paraId="1B4FEDAA">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传  真</w:t>
            </w:r>
          </w:p>
        </w:tc>
        <w:tc>
          <w:tcPr>
            <w:tcW w:w="3737" w:type="dxa"/>
            <w:tcBorders>
              <w:top w:val="single" w:color="auto" w:sz="4" w:space="0"/>
              <w:left w:val="single" w:color="auto" w:sz="4" w:space="0"/>
              <w:bottom w:val="single" w:color="auto" w:sz="4" w:space="0"/>
              <w:right w:val="single" w:color="auto" w:sz="4" w:space="0"/>
            </w:tcBorders>
            <w:vAlign w:val="center"/>
          </w:tcPr>
          <w:p w14:paraId="4A175497">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4595286B">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727C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454" w:type="dxa"/>
            <w:tcBorders>
              <w:top w:val="single" w:color="auto" w:sz="4" w:space="0"/>
              <w:left w:val="single" w:color="auto" w:sz="4" w:space="0"/>
              <w:bottom w:val="single" w:color="auto" w:sz="4" w:space="0"/>
              <w:right w:val="single" w:color="auto" w:sz="4" w:space="0"/>
            </w:tcBorders>
            <w:vAlign w:val="center"/>
          </w:tcPr>
          <w:p w14:paraId="079CCC00">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开</w:t>
            </w:r>
            <w:r>
              <w:rPr>
                <w:rFonts w:hint="eastAsia" w:ascii="仿宋_GB2312" w:hAnsi="仿宋" w:eastAsia="仿宋_GB2312"/>
                <w:color w:val="000000"/>
                <w:sz w:val="28"/>
                <w:szCs w:val="28"/>
                <w:lang w:eastAsia="zh-CN"/>
              </w:rPr>
              <w:t>户</w:t>
            </w:r>
            <w:r>
              <w:rPr>
                <w:rFonts w:hint="eastAsia" w:ascii="仿宋_GB2312" w:hAnsi="仿宋" w:eastAsia="仿宋_GB2312"/>
                <w:color w:val="000000"/>
                <w:sz w:val="28"/>
                <w:szCs w:val="28"/>
              </w:rPr>
              <w:t>行</w:t>
            </w:r>
          </w:p>
        </w:tc>
        <w:tc>
          <w:tcPr>
            <w:tcW w:w="3737" w:type="dxa"/>
            <w:tcBorders>
              <w:top w:val="single" w:color="auto" w:sz="4" w:space="0"/>
              <w:left w:val="single" w:color="auto" w:sz="4" w:space="0"/>
              <w:bottom w:val="single" w:color="auto" w:sz="4" w:space="0"/>
              <w:right w:val="single" w:color="auto" w:sz="4" w:space="0"/>
            </w:tcBorders>
            <w:vAlign w:val="center"/>
          </w:tcPr>
          <w:p w14:paraId="3D65CD92">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1DBEBDEA">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1009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54" w:type="dxa"/>
            <w:tcBorders>
              <w:top w:val="single" w:color="auto" w:sz="4" w:space="0"/>
              <w:left w:val="single" w:color="auto" w:sz="4" w:space="0"/>
              <w:bottom w:val="single" w:color="auto" w:sz="4" w:space="0"/>
              <w:right w:val="single" w:color="auto" w:sz="4" w:space="0"/>
            </w:tcBorders>
            <w:vAlign w:val="center"/>
          </w:tcPr>
          <w:p w14:paraId="6C32DA85">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账 号</w:t>
            </w:r>
          </w:p>
        </w:tc>
        <w:tc>
          <w:tcPr>
            <w:tcW w:w="3737" w:type="dxa"/>
            <w:tcBorders>
              <w:top w:val="single" w:color="auto" w:sz="4" w:space="0"/>
              <w:left w:val="single" w:color="auto" w:sz="4" w:space="0"/>
              <w:bottom w:val="single" w:color="auto" w:sz="4" w:space="0"/>
              <w:right w:val="single" w:color="auto" w:sz="4" w:space="0"/>
            </w:tcBorders>
            <w:vAlign w:val="center"/>
          </w:tcPr>
          <w:p w14:paraId="01FAD135">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0CD3B36B">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377A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54" w:type="dxa"/>
            <w:tcBorders>
              <w:top w:val="single" w:color="auto" w:sz="4" w:space="0"/>
              <w:left w:val="single" w:color="auto" w:sz="4" w:space="0"/>
              <w:bottom w:val="single" w:color="auto" w:sz="4" w:space="0"/>
              <w:right w:val="single" w:color="auto" w:sz="4" w:space="0"/>
            </w:tcBorders>
            <w:vAlign w:val="center"/>
          </w:tcPr>
          <w:p w14:paraId="2FEA75CD">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税 号</w:t>
            </w:r>
          </w:p>
        </w:tc>
        <w:tc>
          <w:tcPr>
            <w:tcW w:w="3737" w:type="dxa"/>
            <w:tcBorders>
              <w:top w:val="single" w:color="auto" w:sz="4" w:space="0"/>
              <w:left w:val="single" w:color="auto" w:sz="4" w:space="0"/>
              <w:bottom w:val="single" w:color="auto" w:sz="4" w:space="0"/>
              <w:right w:val="single" w:color="auto" w:sz="4" w:space="0"/>
            </w:tcBorders>
            <w:vAlign w:val="center"/>
          </w:tcPr>
          <w:p w14:paraId="3245332C">
            <w:pPr>
              <w:keepNext w:val="0"/>
              <w:keepLines w:val="0"/>
              <w:pageBreakBefore w:val="0"/>
              <w:widowControl w:val="0"/>
              <w:tabs>
                <w:tab w:val="left" w:pos="1304"/>
              </w:tabs>
              <w:kinsoku/>
              <w:wordWrap/>
              <w:overflowPunct/>
              <w:topLinePunct w:val="0"/>
              <w:bidi w:val="0"/>
              <w:spacing w:afterAutospacing="0" w:line="520" w:lineRule="exact"/>
              <w:rPr>
                <w:rFonts w:ascii="仿宋_GB2312" w:hAnsi="仿宋" w:eastAsia="仿宋_GB2312"/>
                <w:color w:val="000000"/>
                <w:sz w:val="28"/>
                <w:szCs w:val="28"/>
              </w:rPr>
            </w:pPr>
          </w:p>
        </w:tc>
        <w:tc>
          <w:tcPr>
            <w:tcW w:w="3989" w:type="dxa"/>
            <w:tcBorders>
              <w:top w:val="single" w:color="auto" w:sz="4" w:space="0"/>
              <w:left w:val="single" w:color="auto" w:sz="4" w:space="0"/>
              <w:bottom w:val="single" w:color="auto" w:sz="4" w:space="0"/>
              <w:right w:val="single" w:color="auto" w:sz="4" w:space="0"/>
            </w:tcBorders>
            <w:vAlign w:val="center"/>
          </w:tcPr>
          <w:p w14:paraId="01958249">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p>
        </w:tc>
      </w:tr>
      <w:tr w14:paraId="23A0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4" w:type="dxa"/>
            <w:tcBorders>
              <w:top w:val="single" w:color="auto" w:sz="4" w:space="0"/>
              <w:left w:val="single" w:color="auto" w:sz="4" w:space="0"/>
              <w:bottom w:val="single" w:color="auto" w:sz="4" w:space="0"/>
              <w:right w:val="single" w:color="auto" w:sz="4" w:space="0"/>
            </w:tcBorders>
            <w:vAlign w:val="center"/>
          </w:tcPr>
          <w:p w14:paraId="60CD4273">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 xml:space="preserve">日期            </w:t>
            </w:r>
          </w:p>
        </w:tc>
        <w:tc>
          <w:tcPr>
            <w:tcW w:w="7726" w:type="dxa"/>
            <w:gridSpan w:val="2"/>
            <w:tcBorders>
              <w:top w:val="single" w:color="auto" w:sz="4" w:space="0"/>
              <w:left w:val="single" w:color="auto" w:sz="4" w:space="0"/>
              <w:bottom w:val="single" w:color="auto" w:sz="4" w:space="0"/>
              <w:right w:val="single" w:color="auto" w:sz="4" w:space="0"/>
            </w:tcBorders>
            <w:vAlign w:val="center"/>
          </w:tcPr>
          <w:p w14:paraId="4B3A2323">
            <w:pPr>
              <w:keepNext w:val="0"/>
              <w:keepLines w:val="0"/>
              <w:pageBreakBefore w:val="0"/>
              <w:widowControl w:val="0"/>
              <w:kinsoku/>
              <w:wordWrap/>
              <w:overflowPunct/>
              <w:topLinePunct w:val="0"/>
              <w:bidi w:val="0"/>
              <w:spacing w:afterAutospacing="0" w:line="520" w:lineRule="exact"/>
              <w:rPr>
                <w:rFonts w:ascii="仿宋_GB2312" w:hAnsi="仿宋" w:eastAsia="仿宋_GB2312"/>
                <w:color w:val="000000"/>
                <w:sz w:val="28"/>
                <w:szCs w:val="28"/>
              </w:rPr>
            </w:pPr>
            <w:r>
              <w:rPr>
                <w:rFonts w:hint="eastAsia" w:ascii="仿宋_GB2312" w:hAnsi="仿宋" w:eastAsia="仿宋_GB2312"/>
                <w:color w:val="000000"/>
                <w:sz w:val="28"/>
                <w:szCs w:val="28"/>
              </w:rPr>
              <w:t xml:space="preserve">       </w:t>
            </w:r>
            <w:r>
              <w:rPr>
                <w:rFonts w:hint="eastAsia" w:ascii="仿宋_GB2312" w:hAnsi="仿宋" w:eastAsia="仿宋_GB2312"/>
                <w:color w:val="000000"/>
                <w:sz w:val="28"/>
                <w:szCs w:val="28"/>
                <w:lang w:val="en-US" w:eastAsia="zh-CN"/>
              </w:rPr>
              <w:t xml:space="preserve">                            </w:t>
            </w:r>
            <w:r>
              <w:rPr>
                <w:rFonts w:hint="eastAsia" w:ascii="仿宋_GB2312" w:hAnsi="仿宋" w:eastAsia="仿宋_GB2312"/>
                <w:color w:val="000000"/>
                <w:sz w:val="28"/>
                <w:szCs w:val="28"/>
              </w:rPr>
              <w:t>年    月    日</w:t>
            </w:r>
          </w:p>
        </w:tc>
      </w:tr>
    </w:tbl>
    <w:p w14:paraId="0292417A"/>
    <w:p w14:paraId="150A5FD9">
      <w:pPr>
        <w:pStyle w:val="2"/>
        <w:keepNext/>
        <w:keepLines w:val="0"/>
        <w:pageBreakBefore w:val="0"/>
        <w:widowControl w:val="0"/>
        <w:numPr>
          <w:ilvl w:val="0"/>
          <w:numId w:val="0"/>
        </w:numPr>
        <w:kinsoku/>
        <w:topLinePunct w:val="0"/>
        <w:bidi w:val="0"/>
        <w:jc w:val="both"/>
        <w:rPr>
          <w:rFonts w:hint="eastAsia"/>
          <w:b/>
          <w:bCs/>
          <w:sz w:val="44"/>
          <w:szCs w:val="44"/>
          <w:highlight w:val="none"/>
          <w:lang w:val="en-US" w:eastAsia="zh-CN"/>
        </w:rPr>
      </w:pPr>
    </w:p>
    <w:p w14:paraId="2181C9EC">
      <w:pPr>
        <w:pStyle w:val="2"/>
        <w:keepNext/>
        <w:keepLines w:val="0"/>
        <w:pageBreakBefore w:val="0"/>
        <w:widowControl w:val="0"/>
        <w:numPr>
          <w:ilvl w:val="0"/>
          <w:numId w:val="0"/>
        </w:numPr>
        <w:kinsoku/>
        <w:topLinePunct w:val="0"/>
        <w:bidi w:val="0"/>
        <w:jc w:val="center"/>
        <w:rPr>
          <w:rFonts w:hint="eastAsia"/>
          <w:b/>
          <w:bCs/>
          <w:sz w:val="44"/>
          <w:szCs w:val="44"/>
          <w:highlight w:val="none"/>
        </w:rPr>
      </w:pPr>
      <w:bookmarkStart w:id="94" w:name="_Toc1797"/>
      <w:bookmarkStart w:id="95" w:name="_Toc18965"/>
      <w:bookmarkStart w:id="96" w:name="_Toc12305"/>
      <w:r>
        <w:rPr>
          <w:rFonts w:hint="eastAsia"/>
          <w:b/>
          <w:bCs/>
          <w:sz w:val="44"/>
          <w:szCs w:val="44"/>
          <w:highlight w:val="none"/>
          <w:lang w:val="en-US" w:eastAsia="zh-CN"/>
        </w:rPr>
        <w:t xml:space="preserve">第五章  </w:t>
      </w:r>
      <w:r>
        <w:rPr>
          <w:rFonts w:hint="eastAsia" w:ascii="Times New Roman" w:hAnsi="Times New Roman" w:cs="Times New Roman"/>
          <w:b/>
          <w:bCs/>
          <w:sz w:val="44"/>
          <w:szCs w:val="44"/>
          <w:highlight w:val="none"/>
          <w:lang w:val="en-US" w:eastAsia="zh-CN"/>
        </w:rPr>
        <w:t>技术要求</w:t>
      </w:r>
      <w:bookmarkEnd w:id="88"/>
      <w:bookmarkEnd w:id="89"/>
      <w:bookmarkEnd w:id="90"/>
      <w:bookmarkEnd w:id="91"/>
      <w:bookmarkEnd w:id="92"/>
      <w:bookmarkEnd w:id="94"/>
      <w:bookmarkEnd w:id="95"/>
      <w:bookmarkEnd w:id="96"/>
    </w:p>
    <w:p w14:paraId="73D4FBF0">
      <w:pPr>
        <w:pStyle w:val="3"/>
        <w:keepNext/>
        <w:keepLines w:val="0"/>
        <w:pageBreakBefore w:val="0"/>
        <w:widowControl w:val="0"/>
        <w:numPr>
          <w:ilvl w:val="0"/>
          <w:numId w:val="15"/>
        </w:numPr>
        <w:tabs>
          <w:tab w:val="left" w:pos="1021"/>
          <w:tab w:val="clear" w:pos="0"/>
        </w:tabs>
        <w:kinsoku/>
        <w:topLinePunct w:val="0"/>
        <w:bidi w:val="0"/>
        <w:rPr>
          <w:rFonts w:hint="eastAsia" w:ascii="宋体" w:hAnsi="宋体" w:eastAsia="宋体" w:cs="宋体"/>
          <w:b/>
          <w:bCs/>
          <w:sz w:val="24"/>
          <w:szCs w:val="24"/>
          <w:highlight w:val="none"/>
          <w:lang w:eastAsia="en-US"/>
        </w:rPr>
      </w:pPr>
      <w:bookmarkStart w:id="97" w:name="_Toc13141"/>
      <w:bookmarkStart w:id="98" w:name="_Toc7311"/>
      <w:r>
        <w:rPr>
          <w:rFonts w:hint="eastAsia" w:ascii="宋体" w:hAnsi="宋体" w:eastAsia="宋体" w:cs="宋体"/>
          <w:b/>
          <w:bCs/>
          <w:sz w:val="24"/>
          <w:szCs w:val="24"/>
          <w:highlight w:val="none"/>
        </w:rPr>
        <w:t>项目</w:t>
      </w:r>
      <w:r>
        <w:rPr>
          <w:rFonts w:hint="eastAsia" w:ascii="宋体" w:hAnsi="宋体" w:eastAsia="宋体" w:cs="宋体"/>
          <w:b/>
          <w:bCs/>
          <w:sz w:val="24"/>
          <w:szCs w:val="24"/>
          <w:highlight w:val="none"/>
          <w:lang w:val="en-US" w:eastAsia="zh-CN"/>
        </w:rPr>
        <w:t>概述</w:t>
      </w:r>
      <w:bookmarkEnd w:id="97"/>
      <w:bookmarkEnd w:id="98"/>
    </w:p>
    <w:p w14:paraId="1FDBD0D6">
      <w:pPr>
        <w:pStyle w:val="4"/>
        <w:keepNext/>
        <w:keepLines w:val="0"/>
        <w:pageBreakBefore w:val="0"/>
        <w:widowControl w:val="0"/>
        <w:numPr>
          <w:ilvl w:val="0"/>
          <w:numId w:val="16"/>
        </w:numPr>
        <w:kinsoku/>
        <w:topLinePunct w:val="0"/>
        <w:bidi w:val="0"/>
        <w:spacing w:line="240" w:lineRule="auto"/>
        <w:ind w:left="0" w:leftChars="0"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概况与总则</w:t>
      </w:r>
    </w:p>
    <w:p w14:paraId="5E907FBA">
      <w:pPr>
        <w:pStyle w:val="5"/>
        <w:keepNext/>
        <w:keepLines w:val="0"/>
        <w:pageBreakBefore w:val="0"/>
        <w:widowControl w:val="0"/>
        <w:numPr>
          <w:ilvl w:val="0"/>
          <w:numId w:val="17"/>
        </w:numPr>
        <w:kinsoku/>
        <w:topLinePunct w:val="0"/>
        <w:bidi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项目背景</w:t>
      </w:r>
    </w:p>
    <w:p w14:paraId="59584FAC">
      <w:pPr>
        <w:pStyle w:val="14"/>
        <w:keepNext/>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为降本提效，采用实心焊丝替代药芯焊丝进行焊接。为保障实心焊丝焊接质量，需采用氩气+二氧化碳混合气体进行焊接保护，特建设本混合气站。</w:t>
      </w:r>
    </w:p>
    <w:p w14:paraId="0A756970">
      <w:pPr>
        <w:pStyle w:val="5"/>
        <w:keepNext/>
        <w:keepLines w:val="0"/>
        <w:pageBreakBefore w:val="0"/>
        <w:widowControl w:val="0"/>
        <w:numPr>
          <w:ilvl w:val="0"/>
          <w:numId w:val="17"/>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建设目标</w:t>
      </w:r>
    </w:p>
    <w:p w14:paraId="1A4EF9DA">
      <w:pPr>
        <w:pStyle w:val="14"/>
        <w:keepNext/>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产出气体：80%氩气 + 20%二氧化碳混合气体。</w:t>
      </w:r>
    </w:p>
    <w:p w14:paraId="3C52F476">
      <w:pPr>
        <w:pStyle w:val="14"/>
        <w:keepNext/>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供应能力：额定流量 ≥500 Nm3/h，最大流量 ≥ 500 Nm3/h。</w:t>
      </w:r>
    </w:p>
    <w:p w14:paraId="051E09FA">
      <w:pPr>
        <w:pStyle w:val="14"/>
        <w:keepNext/>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系统可靠性：全年稳定运行时长不低于8000小时，单次故障导致的供气中断时长不超过1小时。</w:t>
      </w:r>
    </w:p>
    <w:p w14:paraId="6B2F3FFB">
      <w:pPr>
        <w:pStyle w:val="14"/>
        <w:keepNext/>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自动化水平：本地实现自动/手动配比，实现远程监控（氩气储罐液位、压力，混合配比柜配比数据、流量等）与数据追溯。</w:t>
      </w:r>
    </w:p>
    <w:p w14:paraId="093011D5">
      <w:pPr>
        <w:pStyle w:val="5"/>
        <w:keepNext/>
        <w:keepLines w:val="0"/>
        <w:pageBreakBefore w:val="0"/>
        <w:widowControl w:val="0"/>
        <w:numPr>
          <w:ilvl w:val="0"/>
          <w:numId w:val="17"/>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质量与责任</w:t>
      </w:r>
    </w:p>
    <w:p w14:paraId="4B79D35E">
      <w:pPr>
        <w:pStyle w:val="14"/>
        <w:keepNext/>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质量追溯：投标人应建立覆盖原材料、生产、检验、安装调试全环节的质量追溯体系。质保期内出现质量问题，招标人有权通过该体系追溯责任。</w:t>
      </w:r>
    </w:p>
    <w:p w14:paraId="0E4716FC">
      <w:pPr>
        <w:pStyle w:val="14"/>
        <w:keepNext/>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知识产权：投标人须保证其产品与技术不侵犯任何第三方知识产权。如因此产生纠纷，由投标人承担全部法律责任及招标人相关损失。</w:t>
      </w:r>
    </w:p>
    <w:p w14:paraId="527CEB47">
      <w:pPr>
        <w:pStyle w:val="14"/>
        <w:keepNext/>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标准遵循：本方案未尽事宜，均应按国家、行业最新标准执行。方案中引用的标准若存在冲突，以高标准为准。</w:t>
      </w:r>
    </w:p>
    <w:p w14:paraId="55088E6E">
      <w:pPr>
        <w:pStyle w:val="4"/>
        <w:keepNext/>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项目范围</w:t>
      </w:r>
    </w:p>
    <w:p w14:paraId="3C7BCD23">
      <w:pPr>
        <w:pStyle w:val="5"/>
        <w:keepNext/>
        <w:keepLines w:val="0"/>
        <w:pageBreakBefore w:val="0"/>
        <w:widowControl w:val="0"/>
        <w:numPr>
          <w:ilvl w:val="0"/>
          <w:numId w:val="20"/>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供货范围</w:t>
      </w:r>
    </w:p>
    <w:p w14:paraId="3A26DA54">
      <w:pPr>
        <w:pStyle w:val="14"/>
        <w:keepNext/>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18"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见本章“二、技术规范及要求”，包括但不限于所列的全部设备、备品备件及软件。</w:t>
      </w:r>
    </w:p>
    <w:p w14:paraId="244626B5">
      <w:pPr>
        <w:pStyle w:val="5"/>
        <w:keepNext/>
        <w:keepLines w:val="0"/>
        <w:pageBreakBefore w:val="0"/>
        <w:widowControl w:val="0"/>
        <w:numPr>
          <w:ilvl w:val="0"/>
          <w:numId w:val="20"/>
        </w:numPr>
        <w:kinsoku/>
        <w:wordWrap/>
        <w:overflowPunct/>
        <w:topLinePunct w:val="0"/>
        <w:autoSpaceDE/>
        <w:autoSpaceDN/>
        <w:bidi w:val="0"/>
        <w:adjustRightInd/>
        <w:snapToGrid/>
        <w:spacing w:line="360" w:lineRule="auto"/>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工作范围</w:t>
      </w:r>
    </w:p>
    <w:p w14:paraId="2C6AE6CA">
      <w:pPr>
        <w:pStyle w:val="14"/>
        <w:keepNext/>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投标人责任：负责所有供货设备（含附属设备）的运输、卸货、安装、连接、系统调试、性能测试、气体配比验证、操作培训、售后服务以及项目（储罐、压力管道）施工前向当地市监局安装告知，施工完成后配合办理使用登记。</w:t>
      </w:r>
    </w:p>
    <w:p w14:paraId="650EC936">
      <w:pPr>
        <w:pStyle w:val="14"/>
        <w:keepNext/>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投标人责任边际：投标人负责完成配比柜出口法兰与车间入口法兰的连接。</w:t>
      </w:r>
    </w:p>
    <w:p w14:paraId="126A7573">
      <w:pPr>
        <w:pStyle w:val="14"/>
        <w:keepNext/>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招标人责任：提供稳定的电源及气源。</w:t>
      </w:r>
    </w:p>
    <w:p w14:paraId="4D354972">
      <w:pPr>
        <w:pStyle w:val="4"/>
        <w:keepNext/>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项目实施地点</w:t>
      </w:r>
    </w:p>
    <w:p w14:paraId="0BC761D9">
      <w:pPr>
        <w:keepNext/>
        <w:keepLines w:val="0"/>
        <w:pageBreakBefore w:val="0"/>
        <w:widowControl w:val="0"/>
        <w:tabs>
          <w:tab w:val="left" w:pos="6624"/>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val="0"/>
          <w:color w:val="000000"/>
          <w:kern w:val="0"/>
          <w:sz w:val="24"/>
          <w:szCs w:val="24"/>
          <w:highlight w:val="none"/>
          <w:lang w:val="en-US" w:eastAsia="zh-CN" w:bidi="ar-SA"/>
        </w:rPr>
      </w:pPr>
      <w:r>
        <w:rPr>
          <w:rFonts w:hint="eastAsia" w:ascii="宋体" w:hAnsi="宋体" w:eastAsia="宋体" w:cs="宋体"/>
          <w:bCs w:val="0"/>
          <w:color w:val="000000"/>
          <w:kern w:val="0"/>
          <w:sz w:val="24"/>
          <w:szCs w:val="24"/>
          <w:highlight w:val="none"/>
          <w:lang w:val="en-US" w:eastAsia="zh-CN" w:bidi="ar-SA"/>
        </w:rPr>
        <w:t>甘肃省兰州市皋兰县昆仑山大道兰州新区兰石集团高端装备产业园（室外安装）。</w:t>
      </w:r>
    </w:p>
    <w:p w14:paraId="0676F38F">
      <w:pPr>
        <w:keepNext/>
        <w:keepLines w:val="0"/>
        <w:pageBreakBefore w:val="0"/>
        <w:widowControl w:val="0"/>
        <w:tabs>
          <w:tab w:val="left" w:pos="6624"/>
        </w:tabs>
        <w:kinsoku/>
        <w:topLinePunct w:val="0"/>
        <w:bidi w:val="0"/>
        <w:spacing w:line="360" w:lineRule="auto"/>
        <w:ind w:left="0" w:leftChars="0" w:firstLine="0" w:firstLineChars="0"/>
        <w:jc w:val="center"/>
      </w:pPr>
      <w:r>
        <w:drawing>
          <wp:inline distT="0" distB="0" distL="114300" distR="114300">
            <wp:extent cx="5269230" cy="4905375"/>
            <wp:effectExtent l="0" t="0" r="7620" b="9525"/>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5"/>
                    <a:stretch>
                      <a:fillRect/>
                    </a:stretch>
                  </pic:blipFill>
                  <pic:spPr>
                    <a:xfrm>
                      <a:off x="0" y="0"/>
                      <a:ext cx="5269230" cy="4905375"/>
                    </a:xfrm>
                    <a:prstGeom prst="rect">
                      <a:avLst/>
                    </a:prstGeom>
                    <a:noFill/>
                    <a:ln>
                      <a:noFill/>
                    </a:ln>
                  </pic:spPr>
                </pic:pic>
              </a:graphicData>
            </a:graphic>
          </wp:inline>
        </w:drawing>
      </w:r>
    </w:p>
    <w:p w14:paraId="5584198C">
      <w:pPr>
        <w:pStyle w:val="50"/>
        <w:keepNext/>
        <w:keepLines w:val="0"/>
        <w:pageBreakBefore w:val="0"/>
        <w:widowControl w:val="0"/>
        <w:tabs>
          <w:tab w:val="left" w:pos="2160"/>
        </w:tabs>
        <w:kinsoku/>
        <w:wordWrap/>
        <w:overflowPunct/>
        <w:topLinePunct w:val="0"/>
        <w:autoSpaceDE/>
        <w:autoSpaceDN/>
        <w:bidi w:val="0"/>
        <w:adjustRightInd w:val="0"/>
        <w:snapToGrid/>
        <w:rPr>
          <w:rFonts w:hint="eastAsia"/>
          <w:sz w:val="24"/>
          <w:szCs w:val="20"/>
          <w:highlight w:val="none"/>
          <w:lang w:val="en-US" w:eastAsia="zh-CN"/>
        </w:rPr>
      </w:pPr>
      <w:r>
        <w:rPr>
          <w:rFonts w:hint="eastAsia"/>
          <w:sz w:val="24"/>
          <w:szCs w:val="20"/>
          <w:highlight w:val="none"/>
          <w:lang w:val="en-US" w:eastAsia="zh-CN"/>
        </w:rPr>
        <w:t>混合气站建设位置示意图</w:t>
      </w:r>
    </w:p>
    <w:p w14:paraId="2D9FFBB2">
      <w:pPr>
        <w:pStyle w:val="4"/>
        <w:keepNext/>
        <w:keepLines w:val="0"/>
        <w:pageBreakBefore w:val="0"/>
        <w:widowControl w:val="0"/>
        <w:numPr>
          <w:ilvl w:val="0"/>
          <w:numId w:val="16"/>
        </w:numPr>
        <w:kinsoku/>
        <w:wordWrap/>
        <w:overflowPunct/>
        <w:topLinePunct w:val="0"/>
        <w:autoSpaceDE/>
        <w:autoSpaceDN/>
        <w:bidi w:val="0"/>
        <w:adjustRightInd w:val="0"/>
        <w:snapToGrid/>
        <w:spacing w:line="240" w:lineRule="auto"/>
        <w:ind w:left="0" w:leftChars="0" w:firstLine="0" w:firstLineChars="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auto"/>
          <w:sz w:val="24"/>
          <w:szCs w:val="24"/>
          <w:highlight w:val="none"/>
        </w:rPr>
        <w:t>设备运行环境与适应性设计</w:t>
      </w: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86"/>
        <w:gridCol w:w="4034"/>
      </w:tblGrid>
      <w:tr w14:paraId="46EF2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7FF0CB11">
            <w:pPr>
              <w:keepNext/>
              <w:keepLines w:val="0"/>
              <w:pageBreakBefore w:val="0"/>
              <w:widowControl w:val="0"/>
              <w:suppressLineNumbers w:val="0"/>
              <w:kinsoku/>
              <w:topLinePunct w:val="0"/>
              <w:bidi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类型</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4580E74B">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数值</w:t>
            </w:r>
          </w:p>
        </w:tc>
      </w:tr>
      <w:tr w14:paraId="39CDA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3D9A2020">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en-US" w:bidi="ar"/>
              </w:rPr>
              <w:t>海拔</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1614A5DF">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en-US" w:bidi="ar"/>
              </w:rPr>
              <w:t>1920m</w:t>
            </w:r>
          </w:p>
        </w:tc>
      </w:tr>
      <w:tr w14:paraId="0B64C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75098A12">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年平均气温</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1819DE74">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7.5-9.1℃</w:t>
            </w:r>
          </w:p>
        </w:tc>
      </w:tr>
      <w:tr w14:paraId="6850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2A676982">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极端最高气温</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7DC797E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38.0℃</w:t>
            </w:r>
          </w:p>
        </w:tc>
      </w:tr>
      <w:tr w14:paraId="7CBB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55679D1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极端最低气温</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321E37A9">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-35.2℃</w:t>
            </w:r>
          </w:p>
        </w:tc>
      </w:tr>
      <w:tr w14:paraId="05A43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5791DEEE">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年平均气压</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4B59153E">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 KPa</w:t>
            </w:r>
          </w:p>
        </w:tc>
      </w:tr>
      <w:tr w14:paraId="7B1AF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66944164">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年平均干燥度</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159EC162">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w:t>
            </w:r>
          </w:p>
        </w:tc>
      </w:tr>
      <w:tr w14:paraId="02CB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22DB7315">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年平均湿润系数</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56B436D0">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0.16</w:t>
            </w:r>
          </w:p>
        </w:tc>
      </w:tr>
      <w:tr w14:paraId="0D6F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50886F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年平均相对湿度</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493AEB25">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r>
      <w:tr w14:paraId="2B68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5D82FC8">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年平均降雨量</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243300A8">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340 mm</w:t>
            </w:r>
          </w:p>
        </w:tc>
      </w:tr>
      <w:tr w14:paraId="180A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63BD42F">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本区最大冻结深度</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57E5D396">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1.71米</w:t>
            </w:r>
          </w:p>
        </w:tc>
      </w:tr>
      <w:tr w14:paraId="0A2B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9159A48">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标准冻结深度</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52F58476">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1.50米</w:t>
            </w:r>
          </w:p>
        </w:tc>
      </w:tr>
      <w:tr w14:paraId="53D2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209C6944">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最大积雪深度</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72B7E47B">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140mm</w:t>
            </w:r>
          </w:p>
        </w:tc>
      </w:tr>
      <w:tr w14:paraId="39F8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7F44640">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基本雪压</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3C9E1D6C">
            <w:pPr>
              <w:keepNext/>
              <w:keepLines w:val="0"/>
              <w:pageBreakBefore w:val="0"/>
              <w:widowControl w:val="0"/>
              <w:suppressLineNumbers w:val="0"/>
              <w:kinsoku/>
              <w:topLinePunct w:val="0"/>
              <w:bidi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1.6g/cm</w:t>
            </w:r>
            <w:r>
              <w:rPr>
                <w:rFonts w:hint="eastAsia" w:ascii="仿宋_GB2312" w:hAnsi="仿宋_GB2312" w:eastAsia="仿宋_GB2312" w:cs="仿宋_GB2312"/>
                <w:i w:val="0"/>
                <w:iCs w:val="0"/>
                <w:color w:val="000000"/>
                <w:kern w:val="0"/>
                <w:sz w:val="24"/>
                <w:szCs w:val="24"/>
                <w:highlight w:val="none"/>
                <w:u w:val="none"/>
                <w:vertAlign w:val="superscript"/>
                <w:lang w:val="en-US" w:eastAsia="zh-CN" w:bidi="ar"/>
              </w:rPr>
              <w:t>2</w:t>
            </w:r>
          </w:p>
        </w:tc>
      </w:tr>
      <w:tr w14:paraId="7D470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43A041F2">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风压（10米处）</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3326C9AE">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0.6KN/m</w:t>
            </w:r>
            <w:r>
              <w:rPr>
                <w:rFonts w:hint="eastAsia" w:ascii="仿宋_GB2312" w:hAnsi="仿宋_GB2312" w:eastAsia="仿宋_GB2312" w:cs="仿宋_GB2312"/>
                <w:i w:val="0"/>
                <w:iCs w:val="0"/>
                <w:color w:val="000000"/>
                <w:kern w:val="0"/>
                <w:sz w:val="24"/>
                <w:szCs w:val="24"/>
                <w:highlight w:val="none"/>
                <w:u w:val="none"/>
                <w:vertAlign w:val="superscript"/>
                <w:lang w:val="en-US" w:eastAsia="zh-CN" w:bidi="ar"/>
              </w:rPr>
              <w:t>2</w:t>
            </w:r>
          </w:p>
        </w:tc>
      </w:tr>
      <w:tr w14:paraId="70E1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00C7D08A">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最大风速</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607EA590">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24m/s</w:t>
            </w:r>
          </w:p>
        </w:tc>
      </w:tr>
      <w:tr w14:paraId="6B64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107B723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年平均风速</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4D62B4C4">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2.8m/s</w:t>
            </w:r>
          </w:p>
        </w:tc>
      </w:tr>
      <w:tr w14:paraId="760D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309D7C32">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年大风天数</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225B08B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15.9天</w:t>
            </w:r>
          </w:p>
        </w:tc>
      </w:tr>
      <w:tr w14:paraId="63111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33106A37">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年主导风向</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1F13D195">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N（北），风频11.9%</w:t>
            </w:r>
          </w:p>
        </w:tc>
      </w:tr>
      <w:tr w14:paraId="1292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86" w:type="dxa"/>
            <w:tcBorders>
              <w:top w:val="single" w:color="000000" w:sz="4" w:space="0"/>
              <w:left w:val="single" w:color="000000" w:sz="4" w:space="0"/>
              <w:bottom w:val="single" w:color="000000" w:sz="4" w:space="0"/>
              <w:right w:val="single" w:color="000000" w:sz="4" w:space="0"/>
            </w:tcBorders>
            <w:noWrap/>
            <w:vAlign w:val="center"/>
          </w:tcPr>
          <w:p w14:paraId="543DE17B">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年最大沙尘暴天数</w:t>
            </w:r>
          </w:p>
        </w:tc>
        <w:tc>
          <w:tcPr>
            <w:tcW w:w="4034" w:type="dxa"/>
            <w:tcBorders>
              <w:top w:val="single" w:color="000000" w:sz="4" w:space="0"/>
              <w:left w:val="single" w:color="000000" w:sz="4" w:space="0"/>
              <w:bottom w:val="single" w:color="000000" w:sz="4" w:space="0"/>
              <w:right w:val="single" w:color="000000" w:sz="4" w:space="0"/>
            </w:tcBorders>
            <w:noWrap/>
            <w:vAlign w:val="center"/>
          </w:tcPr>
          <w:p w14:paraId="7DC594FF">
            <w:pPr>
              <w:keepNext/>
              <w:keepLines w:val="0"/>
              <w:pageBreakBefore w:val="0"/>
              <w:widowControl w:val="0"/>
              <w:suppressLineNumbers w:val="0"/>
              <w:kinsoku/>
              <w:topLinePunct w:val="0"/>
              <w:bidi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13天</w:t>
            </w:r>
          </w:p>
        </w:tc>
      </w:tr>
    </w:tbl>
    <w:p w14:paraId="291F1339">
      <w:pPr>
        <w:keepNext/>
        <w:keepLines w:val="0"/>
        <w:pageBreakBefore w:val="0"/>
        <w:widowControl w:val="0"/>
        <w:tabs>
          <w:tab w:val="left" w:pos="6624"/>
        </w:tabs>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沙尘防护：仪表、阀门、电气控制柜等关键部位需配备IP54及以上防护等级外壳，或加装不锈钢防尘罩。</w:t>
      </w:r>
    </w:p>
    <w:p w14:paraId="05E80BB4">
      <w:pPr>
        <w:keepNext/>
        <w:keepLines w:val="0"/>
        <w:pageBreakBefore w:val="0"/>
        <w:widowControl w:val="0"/>
        <w:tabs>
          <w:tab w:val="left" w:pos="6624"/>
        </w:tabs>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防雷接地：整套气站系统须做防雷接地，与原供气站防雷搭接。</w:t>
      </w:r>
    </w:p>
    <w:p w14:paraId="5480AFCA">
      <w:pPr>
        <w:pStyle w:val="3"/>
        <w:keepNext/>
        <w:keepLines w:val="0"/>
        <w:pageBreakBefore w:val="0"/>
        <w:widowControl w:val="0"/>
        <w:numPr>
          <w:ilvl w:val="0"/>
          <w:numId w:val="15"/>
        </w:numPr>
        <w:tabs>
          <w:tab w:val="left" w:pos="1021"/>
          <w:tab w:val="clear" w:pos="0"/>
        </w:tabs>
        <w:kinsoku/>
        <w:topLinePunct w:val="0"/>
        <w:bidi w:val="0"/>
        <w:rPr>
          <w:rFonts w:hint="eastAsia" w:ascii="仿宋_GB2312" w:hAnsi="仿宋_GB2312" w:eastAsia="仿宋_GB2312" w:cs="仿宋_GB2312"/>
          <w:b/>
          <w:bCs/>
          <w:sz w:val="24"/>
          <w:szCs w:val="24"/>
          <w:highlight w:val="none"/>
          <w:lang w:eastAsia="en-US"/>
        </w:rPr>
      </w:pPr>
      <w:bookmarkStart w:id="99" w:name="_Toc14218"/>
      <w:bookmarkStart w:id="100" w:name="_Toc10939"/>
      <w:r>
        <w:rPr>
          <w:rFonts w:hint="eastAsia" w:ascii="仿宋_GB2312" w:hAnsi="仿宋_GB2312" w:eastAsia="仿宋_GB2312" w:cs="仿宋_GB2312"/>
          <w:b/>
          <w:bCs/>
          <w:sz w:val="24"/>
          <w:szCs w:val="24"/>
          <w:highlight w:val="none"/>
          <w:lang w:val="en-US" w:eastAsia="zh-CN"/>
        </w:rPr>
        <w:t>技术规范及要求</w:t>
      </w:r>
      <w:bookmarkEnd w:id="99"/>
      <w:bookmarkEnd w:id="100"/>
    </w:p>
    <w:p w14:paraId="3EDD82AF">
      <w:pPr>
        <w:pStyle w:val="4"/>
        <w:keepNext/>
        <w:keepLines w:val="0"/>
        <w:pageBreakBefore w:val="0"/>
        <w:widowControl w:val="0"/>
        <w:numPr>
          <w:ilvl w:val="0"/>
          <w:numId w:val="22"/>
        </w:numPr>
        <w:kinsoku/>
        <w:topLinePunct w:val="0"/>
        <w:bidi w:val="0"/>
        <w:spacing w:line="240" w:lineRule="auto"/>
        <w:ind w:left="0" w:leftChars="0" w:firstLine="0" w:firstLineChars="0"/>
        <w:jc w:val="left"/>
        <w:rPr>
          <w:rFonts w:hint="eastAsia" w:ascii="仿宋_GB2312" w:hAnsi="仿宋_GB2312" w:eastAsia="仿宋_GB2312" w:cs="仿宋_GB2312"/>
          <w:color w:val="auto"/>
          <w:sz w:val="24"/>
          <w:szCs w:val="24"/>
          <w:highlight w:val="none"/>
          <w:lang w:eastAsia="en-US"/>
        </w:rPr>
      </w:pPr>
      <w:bookmarkStart w:id="101" w:name="OLE_LINK33"/>
      <w:r>
        <w:rPr>
          <w:rFonts w:hint="eastAsia" w:ascii="仿宋_GB2312" w:hAnsi="仿宋_GB2312" w:eastAsia="仿宋_GB2312" w:cs="仿宋_GB2312"/>
          <w:color w:val="auto"/>
          <w:sz w:val="24"/>
          <w:szCs w:val="24"/>
          <w:highlight w:val="none"/>
          <w:lang w:val="en-US" w:eastAsia="zh-CN"/>
        </w:rPr>
        <w:t>主要</w:t>
      </w:r>
      <w:bookmarkEnd w:id="101"/>
      <w:r>
        <w:rPr>
          <w:rFonts w:hint="eastAsia" w:ascii="仿宋_GB2312" w:hAnsi="仿宋_GB2312" w:eastAsia="仿宋_GB2312" w:cs="仿宋_GB2312"/>
          <w:color w:val="auto"/>
          <w:sz w:val="24"/>
          <w:szCs w:val="24"/>
          <w:highlight w:val="none"/>
          <w:lang w:val="en-US" w:eastAsia="zh-CN"/>
        </w:rPr>
        <w:t>供货</w:t>
      </w:r>
      <w:r>
        <w:rPr>
          <w:rFonts w:hint="eastAsia" w:ascii="仿宋_GB2312" w:hAnsi="仿宋_GB2312" w:eastAsia="仿宋_GB2312" w:cs="仿宋_GB2312"/>
          <w:color w:val="auto"/>
          <w:sz w:val="24"/>
          <w:szCs w:val="24"/>
          <w:highlight w:val="none"/>
          <w:lang w:eastAsia="en-US"/>
        </w:rPr>
        <w:t>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17"/>
        <w:gridCol w:w="728"/>
        <w:gridCol w:w="4116"/>
        <w:gridCol w:w="1814"/>
      </w:tblGrid>
      <w:tr w14:paraId="7C58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644" w:type="dxa"/>
            <w:noWrap w:val="0"/>
            <w:vAlign w:val="center"/>
          </w:tcPr>
          <w:p w14:paraId="24B83C6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序号</w:t>
            </w:r>
          </w:p>
        </w:tc>
        <w:tc>
          <w:tcPr>
            <w:tcW w:w="1217" w:type="dxa"/>
            <w:noWrap w:val="0"/>
            <w:vAlign w:val="center"/>
          </w:tcPr>
          <w:p w14:paraId="54BC1AD5">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供货项目</w:t>
            </w:r>
          </w:p>
        </w:tc>
        <w:tc>
          <w:tcPr>
            <w:tcW w:w="728" w:type="dxa"/>
            <w:noWrap w:val="0"/>
            <w:vAlign w:val="center"/>
          </w:tcPr>
          <w:p w14:paraId="12F424C7">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数量</w:t>
            </w:r>
          </w:p>
        </w:tc>
        <w:tc>
          <w:tcPr>
            <w:tcW w:w="4116" w:type="dxa"/>
            <w:noWrap w:val="0"/>
            <w:vAlign w:val="center"/>
          </w:tcPr>
          <w:p w14:paraId="76520427">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规格</w:t>
            </w:r>
          </w:p>
        </w:tc>
        <w:tc>
          <w:tcPr>
            <w:tcW w:w="1814" w:type="dxa"/>
            <w:noWrap w:val="0"/>
            <w:vAlign w:val="center"/>
          </w:tcPr>
          <w:p w14:paraId="0CAB20D5">
            <w:pPr>
              <w:pStyle w:val="310"/>
              <w:keepNext/>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24"/>
                <w:szCs w:val="24"/>
                <w:highlight w:val="none"/>
                <w:lang w:val="en-US" w:eastAsia="zh-CN" w:bidi="ar-SA"/>
              </w:rPr>
              <w:t>备注</w:t>
            </w:r>
          </w:p>
        </w:tc>
      </w:tr>
      <w:tr w14:paraId="73E4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644" w:type="dxa"/>
            <w:noWrap w:val="0"/>
            <w:vAlign w:val="center"/>
          </w:tcPr>
          <w:p w14:paraId="05112C7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w:t>
            </w:r>
          </w:p>
        </w:tc>
        <w:tc>
          <w:tcPr>
            <w:tcW w:w="1217" w:type="dxa"/>
            <w:noWrap w:val="0"/>
            <w:vAlign w:val="center"/>
          </w:tcPr>
          <w:p w14:paraId="7CFE759C">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bookmarkStart w:id="102" w:name="_Hlk201781428"/>
            <w:r>
              <w:rPr>
                <w:rFonts w:hint="eastAsia" w:ascii="仿宋_GB2312" w:hAnsi="仿宋_GB2312" w:eastAsia="仿宋_GB2312" w:cs="仿宋_GB2312"/>
                <w:color w:val="000000"/>
                <w:kern w:val="0"/>
                <w:sz w:val="24"/>
                <w:szCs w:val="24"/>
                <w:highlight w:val="none"/>
                <w:lang w:val="en-US" w:eastAsia="zh-CN" w:bidi="ar-SA"/>
              </w:rPr>
              <w:t>液氩储罐</w:t>
            </w:r>
            <w:bookmarkEnd w:id="102"/>
          </w:p>
        </w:tc>
        <w:tc>
          <w:tcPr>
            <w:tcW w:w="728" w:type="dxa"/>
            <w:noWrap w:val="0"/>
            <w:vAlign w:val="center"/>
          </w:tcPr>
          <w:p w14:paraId="280CE5BC">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1台</w:t>
            </w:r>
          </w:p>
        </w:tc>
        <w:tc>
          <w:tcPr>
            <w:tcW w:w="4116" w:type="dxa"/>
            <w:noWrap w:val="0"/>
            <w:vAlign w:val="center"/>
          </w:tcPr>
          <w:p w14:paraId="58AE7E7D">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有效容积：30m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 xml:space="preserve"> 设计压力：1.6MPa</w:t>
            </w:r>
          </w:p>
          <w:p w14:paraId="3D29FC64">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介质：液氩 立式粉末绝热</w:t>
            </w:r>
          </w:p>
        </w:tc>
        <w:tc>
          <w:tcPr>
            <w:tcW w:w="1814" w:type="dxa"/>
            <w:noWrap w:val="0"/>
            <w:vAlign w:val="center"/>
          </w:tcPr>
          <w:p w14:paraId="19C36BCA">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仿宋_GB2312" w:hAnsi="仿宋_GB2312" w:eastAsia="仿宋_GB2312" w:cs="仿宋_GB2312"/>
                <w:highlight w:val="none"/>
                <w:lang w:val="en-US" w:eastAsia="zh-CN"/>
              </w:rPr>
            </w:pPr>
          </w:p>
        </w:tc>
      </w:tr>
      <w:tr w14:paraId="2137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4" w:type="dxa"/>
            <w:noWrap w:val="0"/>
            <w:vAlign w:val="center"/>
          </w:tcPr>
          <w:p w14:paraId="2C8E198F">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w:t>
            </w:r>
          </w:p>
        </w:tc>
        <w:tc>
          <w:tcPr>
            <w:tcW w:w="1217" w:type="dxa"/>
            <w:noWrap w:val="0"/>
            <w:vAlign w:val="center"/>
          </w:tcPr>
          <w:p w14:paraId="5A2FD9DC">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bookmarkStart w:id="103" w:name="OLE_LINK32"/>
            <w:r>
              <w:rPr>
                <w:rFonts w:hint="eastAsia" w:ascii="仿宋_GB2312" w:hAnsi="仿宋_GB2312" w:eastAsia="仿宋_GB2312" w:cs="仿宋_GB2312"/>
                <w:color w:val="000000"/>
                <w:kern w:val="0"/>
                <w:sz w:val="24"/>
                <w:szCs w:val="24"/>
                <w:highlight w:val="none"/>
                <w:lang w:val="en-US" w:eastAsia="zh-CN" w:bidi="ar-SA"/>
              </w:rPr>
              <w:t>液氩空温式气化器</w:t>
            </w:r>
            <w:bookmarkEnd w:id="103"/>
          </w:p>
        </w:tc>
        <w:tc>
          <w:tcPr>
            <w:tcW w:w="728" w:type="dxa"/>
            <w:noWrap w:val="0"/>
            <w:vAlign w:val="center"/>
          </w:tcPr>
          <w:p w14:paraId="6C358369">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2台</w:t>
            </w:r>
          </w:p>
        </w:tc>
        <w:tc>
          <w:tcPr>
            <w:tcW w:w="4116" w:type="dxa"/>
            <w:noWrap w:val="0"/>
            <w:vAlign w:val="center"/>
          </w:tcPr>
          <w:p w14:paraId="7C271D22">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有效气化量：1000m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w:t>
            </w:r>
          </w:p>
          <w:p w14:paraId="7DDBFACB">
            <w:pPr>
              <w:keepNext/>
              <w:keepLines w:val="0"/>
              <w:pageBreakBefore w:val="0"/>
              <w:widowControl w:val="0"/>
              <w:kinsoku/>
              <w:topLinePunct w:val="0"/>
              <w:bidi w:val="0"/>
              <w:ind w:left="0" w:leftChars="0" w:firstLine="0" w:firstLineChars="0"/>
              <w:jc w:val="left"/>
              <w:rPr>
                <w:rFonts w:hint="default"/>
                <w:lang w:val="en-US" w:eastAsia="zh-CN"/>
              </w:rPr>
            </w:pPr>
            <w:r>
              <w:rPr>
                <w:rFonts w:hint="eastAsia" w:ascii="仿宋_GB2312" w:hAnsi="仿宋_GB2312" w:eastAsia="仿宋_GB2312" w:cs="仿宋_GB2312"/>
                <w:color w:val="000000"/>
                <w:kern w:val="0"/>
                <w:sz w:val="24"/>
                <w:szCs w:val="24"/>
                <w:highlight w:val="none"/>
                <w:lang w:val="en-US" w:eastAsia="zh-CN" w:bidi="ar-SA"/>
              </w:rPr>
              <w:t>出口配置低温报警，低温切断功能</w:t>
            </w:r>
          </w:p>
        </w:tc>
        <w:tc>
          <w:tcPr>
            <w:tcW w:w="1814" w:type="dxa"/>
            <w:noWrap w:val="0"/>
            <w:vAlign w:val="center"/>
          </w:tcPr>
          <w:p w14:paraId="6915B9D7">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5186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44" w:type="dxa"/>
            <w:noWrap w:val="0"/>
            <w:vAlign w:val="center"/>
          </w:tcPr>
          <w:p w14:paraId="452F9D0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p>
        </w:tc>
        <w:tc>
          <w:tcPr>
            <w:tcW w:w="1217" w:type="dxa"/>
            <w:noWrap w:val="0"/>
            <w:vAlign w:val="center"/>
          </w:tcPr>
          <w:p w14:paraId="47FA513A">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氩气调压阀组</w:t>
            </w:r>
          </w:p>
        </w:tc>
        <w:tc>
          <w:tcPr>
            <w:tcW w:w="728" w:type="dxa"/>
            <w:noWrap w:val="0"/>
            <w:vAlign w:val="center"/>
          </w:tcPr>
          <w:p w14:paraId="2EC77BE9">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1套</w:t>
            </w:r>
          </w:p>
        </w:tc>
        <w:tc>
          <w:tcPr>
            <w:tcW w:w="4116" w:type="dxa"/>
            <w:noWrap w:val="0"/>
            <w:vAlign w:val="center"/>
          </w:tcPr>
          <w:p w14:paraId="03E03F77">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流量：≥1000Nm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/h，自力式</w:t>
            </w:r>
          </w:p>
        </w:tc>
        <w:tc>
          <w:tcPr>
            <w:tcW w:w="1814" w:type="dxa"/>
            <w:noWrap w:val="0"/>
            <w:vAlign w:val="center"/>
          </w:tcPr>
          <w:p w14:paraId="4C8B1B2A">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5178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44" w:type="dxa"/>
            <w:noWrap w:val="0"/>
            <w:vAlign w:val="center"/>
          </w:tcPr>
          <w:p w14:paraId="01A35D2A">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w:t>
            </w:r>
          </w:p>
        </w:tc>
        <w:tc>
          <w:tcPr>
            <w:tcW w:w="1217" w:type="dxa"/>
            <w:noWrap w:val="0"/>
            <w:vAlign w:val="center"/>
          </w:tcPr>
          <w:p w14:paraId="1F8847DB">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混合气体配比柜</w:t>
            </w:r>
          </w:p>
        </w:tc>
        <w:tc>
          <w:tcPr>
            <w:tcW w:w="728" w:type="dxa"/>
            <w:noWrap w:val="0"/>
            <w:vAlign w:val="center"/>
          </w:tcPr>
          <w:p w14:paraId="15D42780">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1台</w:t>
            </w:r>
          </w:p>
        </w:tc>
        <w:tc>
          <w:tcPr>
            <w:tcW w:w="4116" w:type="dxa"/>
            <w:noWrap w:val="0"/>
            <w:vAlign w:val="center"/>
          </w:tcPr>
          <w:p w14:paraId="33F9DD5D">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输出流量：≥500Nm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w:t>
            </w:r>
          </w:p>
          <w:p w14:paraId="61B35D3E">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氩气: 二氧化碳=80%:20%（配比可调，自动/手动），配置在线分析</w:t>
            </w:r>
          </w:p>
        </w:tc>
        <w:tc>
          <w:tcPr>
            <w:tcW w:w="1814" w:type="dxa"/>
            <w:noWrap w:val="0"/>
            <w:vAlign w:val="center"/>
          </w:tcPr>
          <w:p w14:paraId="0768034D">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1C02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644" w:type="dxa"/>
            <w:noWrap w:val="0"/>
            <w:vAlign w:val="center"/>
          </w:tcPr>
          <w:p w14:paraId="6DF9DCF5">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w:t>
            </w:r>
          </w:p>
        </w:tc>
        <w:tc>
          <w:tcPr>
            <w:tcW w:w="1217" w:type="dxa"/>
            <w:noWrap w:val="0"/>
            <w:vAlign w:val="center"/>
          </w:tcPr>
          <w:p w14:paraId="29F50244">
            <w:pPr>
              <w:keepNext/>
              <w:keepLines w:val="0"/>
              <w:pageBreakBefore w:val="0"/>
              <w:widowControl w:val="0"/>
              <w:kinsoku/>
              <w:wordWrap/>
              <w:overflowPunct/>
              <w:topLinePunct w:val="0"/>
              <w:autoSpaceDE/>
              <w:autoSpaceDN/>
              <w:bidi w:val="0"/>
              <w:snapToGrid/>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混合气体缓存罐</w:t>
            </w:r>
          </w:p>
        </w:tc>
        <w:tc>
          <w:tcPr>
            <w:tcW w:w="728" w:type="dxa"/>
            <w:noWrap w:val="0"/>
            <w:vAlign w:val="center"/>
          </w:tcPr>
          <w:p w14:paraId="20EEF022">
            <w:pPr>
              <w:keepNext/>
              <w:keepLines w:val="0"/>
              <w:pageBreakBefore w:val="0"/>
              <w:widowControl w:val="0"/>
              <w:kinsoku/>
              <w:wordWrap/>
              <w:overflowPunct/>
              <w:topLinePunct w:val="0"/>
              <w:autoSpaceDE/>
              <w:autoSpaceDN/>
              <w:bidi w:val="0"/>
              <w:snapToGrid/>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1台</w:t>
            </w:r>
          </w:p>
        </w:tc>
        <w:tc>
          <w:tcPr>
            <w:tcW w:w="4116" w:type="dxa"/>
            <w:noWrap w:val="0"/>
            <w:vAlign w:val="center"/>
          </w:tcPr>
          <w:p w14:paraId="381C6972">
            <w:pPr>
              <w:keepNext/>
              <w:keepLines w:val="0"/>
              <w:pageBreakBefore w:val="0"/>
              <w:widowControl w:val="0"/>
              <w:kinsoku/>
              <w:topLinePunct w:val="0"/>
              <w:bidi w:val="0"/>
              <w:ind w:left="0" w:leftChars="0" w:firstLine="0" w:firstLineChars="0"/>
              <w:jc w:val="left"/>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有效容积：3m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，设计压力：1.6MPa</w:t>
            </w:r>
          </w:p>
          <w:p w14:paraId="10A424C9">
            <w:pPr>
              <w:keepNext/>
              <w:keepLines w:val="0"/>
              <w:pageBreakBefore w:val="0"/>
              <w:widowControl w:val="0"/>
              <w:kinsoku/>
              <w:topLinePunct w:val="0"/>
              <w:bidi w:val="0"/>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介质：氩气-二氧化碳，配分析接口</w:t>
            </w:r>
          </w:p>
          <w:p w14:paraId="6AA08781">
            <w:pPr>
              <w:keepNext/>
              <w:keepLines w:val="0"/>
              <w:pageBreakBefore w:val="0"/>
              <w:widowControl w:val="0"/>
              <w:kinsoku/>
              <w:topLinePunct w:val="0"/>
              <w:bidi w:val="0"/>
              <w:ind w:left="0" w:leftChars="0" w:firstLine="0" w:firstLineChars="0"/>
              <w:jc w:val="left"/>
              <w:rPr>
                <w:rFonts w:hint="default"/>
                <w:lang w:val="en-US" w:eastAsia="zh-CN"/>
              </w:rPr>
            </w:pPr>
            <w:r>
              <w:rPr>
                <w:rFonts w:hint="eastAsia" w:ascii="仿宋_GB2312" w:hAnsi="仿宋_GB2312" w:eastAsia="仿宋_GB2312" w:cs="仿宋_GB2312"/>
                <w:color w:val="000000"/>
                <w:kern w:val="0"/>
                <w:sz w:val="24"/>
                <w:szCs w:val="24"/>
                <w:highlight w:val="none"/>
                <w:lang w:val="en-US" w:eastAsia="zh-CN" w:bidi="ar-SA"/>
              </w:rPr>
              <w:t>使用寿命不少于20年</w:t>
            </w:r>
          </w:p>
        </w:tc>
        <w:tc>
          <w:tcPr>
            <w:tcW w:w="1814" w:type="dxa"/>
            <w:noWrap w:val="0"/>
            <w:vAlign w:val="center"/>
          </w:tcPr>
          <w:p w14:paraId="64405312">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09A9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44" w:type="dxa"/>
            <w:noWrap w:val="0"/>
            <w:vAlign w:val="center"/>
          </w:tcPr>
          <w:p w14:paraId="0C517284">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6</w:t>
            </w:r>
          </w:p>
        </w:tc>
        <w:tc>
          <w:tcPr>
            <w:tcW w:w="1217" w:type="dxa"/>
            <w:noWrap w:val="0"/>
            <w:vAlign w:val="center"/>
          </w:tcPr>
          <w:p w14:paraId="080E5C6D">
            <w:pPr>
              <w:keepNext/>
              <w:keepLines w:val="0"/>
              <w:pageBreakBefore w:val="0"/>
              <w:widowControl w:val="0"/>
              <w:kinsoku/>
              <w:wordWrap/>
              <w:overflowPunct/>
              <w:topLinePunct w:val="0"/>
              <w:autoSpaceDE/>
              <w:autoSpaceDN/>
              <w:bidi w:val="0"/>
              <w:snapToGrid/>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防雨柜体</w:t>
            </w:r>
          </w:p>
        </w:tc>
        <w:tc>
          <w:tcPr>
            <w:tcW w:w="728" w:type="dxa"/>
            <w:noWrap w:val="0"/>
            <w:vAlign w:val="center"/>
          </w:tcPr>
          <w:p w14:paraId="535BE0CA">
            <w:pPr>
              <w:keepNext/>
              <w:keepLines w:val="0"/>
              <w:pageBreakBefore w:val="0"/>
              <w:widowControl w:val="0"/>
              <w:kinsoku/>
              <w:wordWrap/>
              <w:overflowPunct/>
              <w:topLinePunct w:val="0"/>
              <w:autoSpaceDE/>
              <w:autoSpaceDN/>
              <w:bidi w:val="0"/>
              <w:snapToGrid/>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1台</w:t>
            </w:r>
          </w:p>
        </w:tc>
        <w:tc>
          <w:tcPr>
            <w:tcW w:w="4116" w:type="dxa"/>
            <w:noWrap w:val="0"/>
            <w:vAlign w:val="center"/>
          </w:tcPr>
          <w:p w14:paraId="35BA19F0">
            <w:pP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混合气体配比柜用不锈钢柜体，设置通风口</w:t>
            </w:r>
          </w:p>
        </w:tc>
        <w:tc>
          <w:tcPr>
            <w:tcW w:w="1814" w:type="dxa"/>
            <w:noWrap w:val="0"/>
            <w:vAlign w:val="center"/>
          </w:tcPr>
          <w:p w14:paraId="1BAE61FB">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32CA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44" w:type="dxa"/>
            <w:noWrap w:val="0"/>
            <w:vAlign w:val="center"/>
          </w:tcPr>
          <w:p w14:paraId="15F8D9B0">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7</w:t>
            </w:r>
          </w:p>
        </w:tc>
        <w:tc>
          <w:tcPr>
            <w:tcW w:w="1217" w:type="dxa"/>
            <w:noWrap w:val="0"/>
            <w:vAlign w:val="center"/>
          </w:tcPr>
          <w:p w14:paraId="60FA2904">
            <w:pPr>
              <w:keepNext/>
              <w:keepLines w:val="0"/>
              <w:pageBreakBefore w:val="0"/>
              <w:widowControl w:val="0"/>
              <w:kinsoku/>
              <w:wordWrap/>
              <w:overflowPunct/>
              <w:topLinePunct w:val="0"/>
              <w:autoSpaceDE/>
              <w:autoSpaceDN/>
              <w:bidi w:val="0"/>
              <w:snapToGrid/>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数据采集接口</w:t>
            </w:r>
          </w:p>
        </w:tc>
        <w:tc>
          <w:tcPr>
            <w:tcW w:w="728" w:type="dxa"/>
            <w:noWrap w:val="0"/>
            <w:vAlign w:val="center"/>
          </w:tcPr>
          <w:p w14:paraId="6979A0A4">
            <w:pPr>
              <w:keepNext/>
              <w:keepLines w:val="0"/>
              <w:pageBreakBefore w:val="0"/>
              <w:widowControl w:val="0"/>
              <w:kinsoku/>
              <w:wordWrap/>
              <w:overflowPunct/>
              <w:topLinePunct w:val="0"/>
              <w:autoSpaceDE/>
              <w:autoSpaceDN/>
              <w:bidi w:val="0"/>
              <w:snapToGrid/>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1项</w:t>
            </w:r>
          </w:p>
        </w:tc>
        <w:tc>
          <w:tcPr>
            <w:tcW w:w="4116" w:type="dxa"/>
            <w:noWrap w:val="0"/>
            <w:vAlign w:val="center"/>
          </w:tcPr>
          <w:p w14:paraId="0D76CE30">
            <w:pPr>
              <w:keepNext/>
              <w:keepLines w:val="0"/>
              <w:pageBreakBefore w:val="0"/>
              <w:widowControl w:val="0"/>
              <w:kinsoku/>
              <w:wordWrap/>
              <w:overflowPunct/>
              <w:topLinePunct w:val="0"/>
              <w:autoSpaceDE/>
              <w:autoSpaceDN/>
              <w:bidi w:val="0"/>
              <w:snapToGrid/>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设备需预留支持常见工业通讯协议（如：ModbusTCP/RTU、西门子S7、OPC UA）的数据接口，并提供采集数据的变量点位信息表（变量名称、数据类型、变量地址等）。</w:t>
            </w:r>
          </w:p>
        </w:tc>
        <w:tc>
          <w:tcPr>
            <w:tcW w:w="1814" w:type="dxa"/>
            <w:noWrap w:val="0"/>
            <w:vAlign w:val="center"/>
          </w:tcPr>
          <w:p w14:paraId="2E9747EC">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5AAD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44" w:type="dxa"/>
            <w:noWrap w:val="0"/>
            <w:vAlign w:val="center"/>
          </w:tcPr>
          <w:p w14:paraId="25F8257D">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8</w:t>
            </w:r>
          </w:p>
        </w:tc>
        <w:tc>
          <w:tcPr>
            <w:tcW w:w="1217" w:type="dxa"/>
            <w:noWrap w:val="0"/>
            <w:vAlign w:val="center"/>
          </w:tcPr>
          <w:p w14:paraId="7BC342AD">
            <w:pPr>
              <w:keepNext/>
              <w:keepLines w:val="0"/>
              <w:pageBreakBefore w:val="0"/>
              <w:widowControl w:val="0"/>
              <w:kinsoku/>
              <w:wordWrap/>
              <w:overflowPunct/>
              <w:topLinePunct w:val="0"/>
              <w:autoSpaceDE/>
              <w:autoSpaceDN/>
              <w:bidi w:val="0"/>
              <w:snapToGrid/>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配件</w:t>
            </w:r>
          </w:p>
        </w:tc>
        <w:tc>
          <w:tcPr>
            <w:tcW w:w="728" w:type="dxa"/>
            <w:noWrap w:val="0"/>
            <w:vAlign w:val="center"/>
          </w:tcPr>
          <w:p w14:paraId="49FFE680">
            <w:pPr>
              <w:keepNext/>
              <w:keepLines w:val="0"/>
              <w:pageBreakBefore w:val="0"/>
              <w:widowControl w:val="0"/>
              <w:kinsoku/>
              <w:wordWrap/>
              <w:overflowPunct/>
              <w:topLinePunct w:val="0"/>
              <w:autoSpaceDE/>
              <w:autoSpaceDN/>
              <w:bidi w:val="0"/>
              <w:snapToGrid/>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1套</w:t>
            </w:r>
          </w:p>
        </w:tc>
        <w:tc>
          <w:tcPr>
            <w:tcW w:w="4116" w:type="dxa"/>
            <w:noWrap w:val="0"/>
            <w:vAlign w:val="center"/>
          </w:tcPr>
          <w:p w14:paraId="7A2899C1">
            <w:pPr>
              <w:keepNext/>
              <w:keepLines w:val="0"/>
              <w:pageBreakBefore w:val="0"/>
              <w:widowControl w:val="0"/>
              <w:kinsoku/>
              <w:wordWrap/>
              <w:overflowPunct/>
              <w:topLinePunct w:val="0"/>
              <w:autoSpaceDE/>
              <w:autoSpaceDN/>
              <w:bidi w:val="0"/>
              <w:snapToGrid/>
              <w:ind w:left="0" w:leftChars="0" w:firstLine="0" w:firstLineChars="0"/>
              <w:jc w:val="left"/>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管道（不锈钢）、阀门（不锈钢）、支架、管卡等</w:t>
            </w:r>
          </w:p>
        </w:tc>
        <w:tc>
          <w:tcPr>
            <w:tcW w:w="1814" w:type="dxa"/>
            <w:noWrap w:val="0"/>
            <w:vAlign w:val="center"/>
          </w:tcPr>
          <w:p w14:paraId="7EBEFC5A">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r w14:paraId="1EE8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644" w:type="dxa"/>
            <w:noWrap w:val="0"/>
            <w:vAlign w:val="center"/>
          </w:tcPr>
          <w:p w14:paraId="718BB79D">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12</w:t>
            </w:r>
          </w:p>
        </w:tc>
        <w:tc>
          <w:tcPr>
            <w:tcW w:w="1217" w:type="dxa"/>
            <w:noWrap w:val="0"/>
            <w:vAlign w:val="center"/>
          </w:tcPr>
          <w:p w14:paraId="107DBFE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运输安装调试</w:t>
            </w:r>
          </w:p>
        </w:tc>
        <w:tc>
          <w:tcPr>
            <w:tcW w:w="728" w:type="dxa"/>
            <w:noWrap w:val="0"/>
            <w:vAlign w:val="center"/>
          </w:tcPr>
          <w:p w14:paraId="11F131A7">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1项</w:t>
            </w:r>
          </w:p>
        </w:tc>
        <w:tc>
          <w:tcPr>
            <w:tcW w:w="4116" w:type="dxa"/>
            <w:noWrap w:val="0"/>
            <w:vAlign w:val="center"/>
          </w:tcPr>
          <w:p w14:paraId="22D937DE">
            <w:pPr>
              <w:keepNext/>
              <w:keepLines w:val="0"/>
              <w:pageBreakBefore w:val="0"/>
              <w:widowControl w:val="0"/>
              <w:kinsoku/>
              <w:topLinePunct w:val="0"/>
              <w:bidi w:val="0"/>
              <w:jc w:val="both"/>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设备运输安装、管道改造、罐体清洗、检漏、混合调试等。</w:t>
            </w:r>
          </w:p>
        </w:tc>
        <w:tc>
          <w:tcPr>
            <w:tcW w:w="1814" w:type="dxa"/>
            <w:noWrap w:val="0"/>
            <w:vAlign w:val="center"/>
          </w:tcPr>
          <w:p w14:paraId="10CF5413">
            <w:pPr>
              <w:pStyle w:val="312"/>
              <w:keepNext/>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highlight w:val="none"/>
              </w:rPr>
            </w:pPr>
          </w:p>
        </w:tc>
      </w:tr>
    </w:tbl>
    <w:p w14:paraId="63BBAE92">
      <w:pPr>
        <w:pStyle w:val="4"/>
        <w:keepNext/>
        <w:keepLines w:val="0"/>
        <w:pageBreakBefore w:val="0"/>
        <w:widowControl w:val="0"/>
        <w:numPr>
          <w:ilvl w:val="0"/>
          <w:numId w:val="22"/>
        </w:numPr>
        <w:kinsoku/>
        <w:topLinePunct w:val="0"/>
        <w:bidi w:val="0"/>
        <w:spacing w:line="240" w:lineRule="auto"/>
        <w:ind w:left="0" w:leftChars="0"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关键</w:t>
      </w:r>
      <w:r>
        <w:rPr>
          <w:rFonts w:hint="eastAsia" w:ascii="仿宋_GB2312" w:hAnsi="仿宋_GB2312" w:eastAsia="仿宋_GB2312" w:cs="仿宋_GB2312"/>
          <w:color w:val="auto"/>
          <w:sz w:val="24"/>
          <w:szCs w:val="24"/>
          <w:highlight w:val="none"/>
        </w:rPr>
        <w:t>设备技术参数</w:t>
      </w:r>
      <w:r>
        <w:rPr>
          <w:rFonts w:hint="eastAsia" w:ascii="仿宋_GB2312" w:hAnsi="仿宋_GB2312" w:eastAsia="仿宋_GB2312" w:cs="仿宋_GB2312"/>
          <w:color w:val="auto"/>
          <w:sz w:val="24"/>
          <w:szCs w:val="24"/>
          <w:highlight w:val="none"/>
          <w:lang w:val="en-US" w:eastAsia="zh-CN"/>
        </w:rPr>
        <w:t>及要求</w:t>
      </w:r>
    </w:p>
    <w:p w14:paraId="0B7B78C7">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低温液氩储罐</w:t>
      </w:r>
    </w:p>
    <w:p w14:paraId="08B6D46B">
      <w:pPr>
        <w:pStyle w:val="73"/>
        <w:keepNext/>
        <w:keepLines w:val="0"/>
        <w:pageBreakBefore w:val="0"/>
        <w:widowControl w:val="0"/>
        <w:kinsoku/>
        <w:topLinePunct w:val="0"/>
        <w:bidi w:val="0"/>
        <w:spacing w:line="360" w:lineRule="auto"/>
        <w:ind w:left="0" w:leftChars="0" w:firstLine="480" w:firstLineChars="200"/>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30</w:t>
      </w:r>
      <w:r>
        <w:rPr>
          <w:rFonts w:hint="eastAsia" w:ascii="仿宋_GB2312" w:hAnsi="仿宋_GB2312" w:eastAsia="仿宋_GB2312" w:cs="仿宋_GB2312"/>
          <w:color w:val="000000"/>
          <w:sz w:val="24"/>
          <w:szCs w:val="24"/>
          <w:highlight w:val="none"/>
          <w:lang w:eastAsia="zh-CN"/>
        </w:rPr>
        <w:t>m</w:t>
      </w:r>
      <w:r>
        <w:rPr>
          <w:rFonts w:hint="eastAsia" w:ascii="仿宋_GB2312" w:hAnsi="仿宋_GB2312" w:eastAsia="仿宋_GB2312" w:cs="仿宋_GB2312"/>
          <w:color w:val="000000"/>
          <w:sz w:val="24"/>
          <w:szCs w:val="24"/>
          <w:highlight w:val="none"/>
          <w:vertAlign w:val="superscript"/>
          <w:lang w:val="en-US" w:eastAsia="zh-CN"/>
        </w:rPr>
        <w:t>3</w:t>
      </w:r>
      <w:r>
        <w:rPr>
          <w:rFonts w:hint="eastAsia" w:ascii="仿宋_GB2312" w:hAnsi="仿宋_GB2312" w:eastAsia="仿宋_GB2312" w:cs="仿宋_GB2312"/>
          <w:color w:val="000000"/>
          <w:sz w:val="24"/>
          <w:szCs w:val="24"/>
          <w:highlight w:val="none"/>
        </w:rPr>
        <w:t>低温液</w:t>
      </w:r>
      <w:r>
        <w:rPr>
          <w:rFonts w:hint="eastAsia" w:ascii="仿宋_GB2312" w:hAnsi="仿宋_GB2312" w:eastAsia="仿宋_GB2312" w:cs="仿宋_GB2312"/>
          <w:color w:val="000000"/>
          <w:sz w:val="24"/>
          <w:szCs w:val="24"/>
          <w:highlight w:val="none"/>
          <w:lang w:val="en-US" w:eastAsia="zh-CN"/>
        </w:rPr>
        <w:t>氩</w:t>
      </w:r>
      <w:r>
        <w:rPr>
          <w:rFonts w:hint="eastAsia" w:ascii="仿宋_GB2312" w:hAnsi="仿宋_GB2312" w:eastAsia="仿宋_GB2312" w:cs="仿宋_GB2312"/>
          <w:color w:val="000000"/>
          <w:sz w:val="24"/>
          <w:szCs w:val="24"/>
          <w:highlight w:val="none"/>
        </w:rPr>
        <w:t>储罐</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3"/>
        <w:gridCol w:w="2662"/>
        <w:gridCol w:w="2894"/>
      </w:tblGrid>
      <w:tr w14:paraId="6CCF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1DF51C6D">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项目</w:t>
            </w:r>
          </w:p>
        </w:tc>
        <w:tc>
          <w:tcPr>
            <w:tcW w:w="2662" w:type="dxa"/>
            <w:noWrap w:val="0"/>
            <w:vAlign w:val="center"/>
          </w:tcPr>
          <w:p w14:paraId="14E3BDC5">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内容器</w:t>
            </w:r>
          </w:p>
        </w:tc>
        <w:tc>
          <w:tcPr>
            <w:tcW w:w="2894" w:type="dxa"/>
            <w:noWrap w:val="0"/>
            <w:vAlign w:val="center"/>
          </w:tcPr>
          <w:p w14:paraId="3AE92B4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外壳（夹层）</w:t>
            </w:r>
          </w:p>
        </w:tc>
      </w:tr>
      <w:tr w14:paraId="1067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5F95E71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压力容器类别</w:t>
            </w:r>
          </w:p>
        </w:tc>
        <w:tc>
          <w:tcPr>
            <w:tcW w:w="5556" w:type="dxa"/>
            <w:gridSpan w:val="2"/>
            <w:noWrap w:val="0"/>
            <w:vAlign w:val="center"/>
          </w:tcPr>
          <w:p w14:paraId="022657C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Ⅱ</w:t>
            </w:r>
          </w:p>
        </w:tc>
      </w:tr>
      <w:tr w14:paraId="7F8B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3DF62A8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产品名称</w:t>
            </w:r>
          </w:p>
        </w:tc>
        <w:tc>
          <w:tcPr>
            <w:tcW w:w="5556" w:type="dxa"/>
            <w:gridSpan w:val="2"/>
            <w:noWrap w:val="0"/>
            <w:vAlign w:val="center"/>
          </w:tcPr>
          <w:p w14:paraId="3097CE9E">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30m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低温液氩储罐</w:t>
            </w:r>
          </w:p>
        </w:tc>
      </w:tr>
      <w:tr w14:paraId="6E89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412E5618">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外形规格（外径×高/mm）</w:t>
            </w:r>
          </w:p>
        </w:tc>
        <w:tc>
          <w:tcPr>
            <w:tcW w:w="5556" w:type="dxa"/>
            <w:gridSpan w:val="2"/>
            <w:noWrap w:val="0"/>
            <w:vAlign w:val="center"/>
          </w:tcPr>
          <w:p w14:paraId="3ECAE13D">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（2504×11574）</w:t>
            </w:r>
          </w:p>
        </w:tc>
      </w:tr>
      <w:tr w14:paraId="1983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0EA0397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设备型式</w:t>
            </w:r>
          </w:p>
        </w:tc>
        <w:tc>
          <w:tcPr>
            <w:tcW w:w="5556" w:type="dxa"/>
            <w:gridSpan w:val="2"/>
            <w:noWrap w:val="0"/>
            <w:vAlign w:val="center"/>
          </w:tcPr>
          <w:p w14:paraId="396FD06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立式固定贮槽</w:t>
            </w:r>
          </w:p>
        </w:tc>
      </w:tr>
      <w:tr w14:paraId="36DF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4AEB476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绝热方式</w:t>
            </w:r>
          </w:p>
        </w:tc>
        <w:tc>
          <w:tcPr>
            <w:tcW w:w="5556" w:type="dxa"/>
            <w:gridSpan w:val="2"/>
            <w:noWrap w:val="0"/>
            <w:vAlign w:val="center"/>
          </w:tcPr>
          <w:p w14:paraId="77C59FF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真空粉末绝热</w:t>
            </w:r>
          </w:p>
        </w:tc>
      </w:tr>
      <w:tr w14:paraId="12EC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794859A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介质</w:t>
            </w:r>
          </w:p>
        </w:tc>
        <w:tc>
          <w:tcPr>
            <w:tcW w:w="2662" w:type="dxa"/>
            <w:noWrap w:val="0"/>
            <w:vAlign w:val="center"/>
          </w:tcPr>
          <w:p w14:paraId="1CAD1F1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液氩</w:t>
            </w:r>
          </w:p>
        </w:tc>
        <w:tc>
          <w:tcPr>
            <w:tcW w:w="2894" w:type="dxa"/>
            <w:noWrap w:val="0"/>
            <w:vAlign w:val="center"/>
          </w:tcPr>
          <w:p w14:paraId="45C463B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真空（充填绝热体）</w:t>
            </w:r>
          </w:p>
        </w:tc>
      </w:tr>
      <w:tr w14:paraId="26F3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59EB099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工作压力PW（MPa）</w:t>
            </w:r>
          </w:p>
        </w:tc>
        <w:tc>
          <w:tcPr>
            <w:tcW w:w="2662" w:type="dxa"/>
            <w:noWrap w:val="0"/>
            <w:vAlign w:val="center"/>
          </w:tcPr>
          <w:p w14:paraId="7906083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1.2</w:t>
            </w:r>
          </w:p>
        </w:tc>
        <w:tc>
          <w:tcPr>
            <w:tcW w:w="2894" w:type="dxa"/>
            <w:noWrap w:val="0"/>
            <w:vAlign w:val="center"/>
          </w:tcPr>
          <w:p w14:paraId="79EE8E0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－0.1</w:t>
            </w:r>
          </w:p>
        </w:tc>
      </w:tr>
      <w:tr w14:paraId="2D31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1B18092E">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设计压力Pd（MPa）</w:t>
            </w:r>
          </w:p>
        </w:tc>
        <w:tc>
          <w:tcPr>
            <w:tcW w:w="2662" w:type="dxa"/>
            <w:noWrap w:val="0"/>
            <w:vAlign w:val="center"/>
          </w:tcPr>
          <w:p w14:paraId="5BD2E01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1.6</w:t>
            </w:r>
          </w:p>
        </w:tc>
        <w:tc>
          <w:tcPr>
            <w:tcW w:w="2894" w:type="dxa"/>
            <w:noWrap w:val="0"/>
            <w:vAlign w:val="center"/>
          </w:tcPr>
          <w:p w14:paraId="04265BF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－0.1</w:t>
            </w:r>
          </w:p>
        </w:tc>
      </w:tr>
      <w:tr w14:paraId="54F3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7AE3EB5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工作温度TW（℃）</w:t>
            </w:r>
          </w:p>
        </w:tc>
        <w:tc>
          <w:tcPr>
            <w:tcW w:w="2662" w:type="dxa"/>
            <w:noWrap w:val="0"/>
            <w:vAlign w:val="center"/>
          </w:tcPr>
          <w:p w14:paraId="70A6361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－186</w:t>
            </w:r>
          </w:p>
        </w:tc>
        <w:tc>
          <w:tcPr>
            <w:tcW w:w="2894" w:type="dxa"/>
            <w:noWrap w:val="0"/>
            <w:vAlign w:val="center"/>
          </w:tcPr>
          <w:p w14:paraId="671C2BE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常温</w:t>
            </w:r>
          </w:p>
        </w:tc>
      </w:tr>
      <w:tr w14:paraId="3A9C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54B568E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设计温度Td（℃）</w:t>
            </w:r>
          </w:p>
        </w:tc>
        <w:tc>
          <w:tcPr>
            <w:tcW w:w="2662" w:type="dxa"/>
            <w:noWrap w:val="0"/>
            <w:vAlign w:val="center"/>
          </w:tcPr>
          <w:p w14:paraId="457231A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－196</w:t>
            </w:r>
          </w:p>
        </w:tc>
        <w:tc>
          <w:tcPr>
            <w:tcW w:w="2894" w:type="dxa"/>
            <w:noWrap w:val="0"/>
            <w:vAlign w:val="center"/>
          </w:tcPr>
          <w:p w14:paraId="0493AA0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－20</w:t>
            </w:r>
          </w:p>
        </w:tc>
      </w:tr>
      <w:tr w14:paraId="570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44FC3A6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有效容积（m³）</w:t>
            </w:r>
          </w:p>
        </w:tc>
        <w:tc>
          <w:tcPr>
            <w:tcW w:w="5556" w:type="dxa"/>
            <w:gridSpan w:val="2"/>
            <w:noWrap w:val="0"/>
            <w:vAlign w:val="center"/>
          </w:tcPr>
          <w:p w14:paraId="23DF44EE">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30</w:t>
            </w:r>
          </w:p>
        </w:tc>
      </w:tr>
      <w:tr w14:paraId="4479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2E6D296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额定充装率</w:t>
            </w:r>
          </w:p>
        </w:tc>
        <w:tc>
          <w:tcPr>
            <w:tcW w:w="5556" w:type="dxa"/>
            <w:gridSpan w:val="2"/>
            <w:noWrap w:val="0"/>
            <w:vAlign w:val="center"/>
          </w:tcPr>
          <w:p w14:paraId="13C0D78D">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0.95</w:t>
            </w:r>
          </w:p>
        </w:tc>
      </w:tr>
      <w:tr w14:paraId="17DA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147F685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主要受压元件材质</w:t>
            </w:r>
          </w:p>
        </w:tc>
        <w:tc>
          <w:tcPr>
            <w:tcW w:w="2662" w:type="dxa"/>
            <w:noWrap w:val="0"/>
            <w:vAlign w:val="center"/>
          </w:tcPr>
          <w:p w14:paraId="0F60FD3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S30408</w:t>
            </w:r>
          </w:p>
        </w:tc>
        <w:tc>
          <w:tcPr>
            <w:tcW w:w="2894" w:type="dxa"/>
            <w:noWrap w:val="0"/>
            <w:vAlign w:val="center"/>
          </w:tcPr>
          <w:p w14:paraId="4233A0C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Q345R</w:t>
            </w:r>
          </w:p>
        </w:tc>
      </w:tr>
      <w:tr w14:paraId="7292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2D69C7C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静态日蒸发率%／d（液氩）</w:t>
            </w:r>
          </w:p>
        </w:tc>
        <w:tc>
          <w:tcPr>
            <w:tcW w:w="5556" w:type="dxa"/>
            <w:gridSpan w:val="2"/>
            <w:noWrap w:val="0"/>
            <w:vAlign w:val="center"/>
          </w:tcPr>
          <w:p w14:paraId="7935A4E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0.290</w:t>
            </w:r>
          </w:p>
        </w:tc>
      </w:tr>
      <w:tr w14:paraId="5F96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noWrap w:val="0"/>
            <w:vAlign w:val="center"/>
          </w:tcPr>
          <w:p w14:paraId="333962A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设计使用年限（年）</w:t>
            </w:r>
          </w:p>
        </w:tc>
        <w:tc>
          <w:tcPr>
            <w:tcW w:w="5556" w:type="dxa"/>
            <w:gridSpan w:val="2"/>
            <w:noWrap w:val="0"/>
            <w:vAlign w:val="center"/>
          </w:tcPr>
          <w:p w14:paraId="3A6BE6D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20</w:t>
            </w:r>
          </w:p>
        </w:tc>
      </w:tr>
    </w:tbl>
    <w:p w14:paraId="368FDE09">
      <w:pPr>
        <w:pStyle w:val="5"/>
        <w:keepNext/>
        <w:keepLines w:val="0"/>
        <w:pageBreakBefore w:val="0"/>
        <w:widowControl w:val="0"/>
        <w:numPr>
          <w:ilvl w:val="0"/>
          <w:numId w:val="0"/>
        </w:numPr>
        <w:kinsoku/>
        <w:topLinePunct w:val="0"/>
        <w:bidi w:val="0"/>
        <w:ind w:left="0" w:leftChars="0" w:firstLine="480" w:firstLineChars="200"/>
        <w:rPr>
          <w:rFonts w:hint="default" w:ascii="仿宋_GB2312" w:hAnsi="仿宋_GB2312" w:eastAsia="仿宋_GB2312" w:cs="仿宋_GB2312"/>
          <w:sz w:val="24"/>
          <w:szCs w:val="24"/>
          <w:highlight w:val="none"/>
          <w:lang w:val="en-US" w:eastAsia="zh-CN"/>
        </w:rPr>
      </w:pPr>
      <w:bookmarkStart w:id="104" w:name="OLE_LINK35"/>
      <w:bookmarkStart w:id="105" w:name="OLE_LINK10"/>
      <w:r>
        <w:rPr>
          <w:rFonts w:hint="eastAsia" w:ascii="仿宋_GB2312" w:hAnsi="仿宋_GB2312" w:eastAsia="仿宋_GB2312" w:cs="仿宋_GB2312"/>
          <w:b/>
          <w:bCs w:val="0"/>
          <w:sz w:val="24"/>
          <w:szCs w:val="28"/>
          <w:highlight w:val="none"/>
          <w:lang w:val="en-US" w:eastAsia="zh-CN"/>
        </w:rPr>
        <w:t>注：</w:t>
      </w:r>
      <w:r>
        <w:rPr>
          <w:rFonts w:hint="eastAsia" w:ascii="仿宋_GB2312" w:hAnsi="仿宋_GB2312" w:eastAsia="仿宋_GB2312" w:cs="仿宋_GB2312"/>
          <w:b w:val="0"/>
          <w:bCs/>
          <w:sz w:val="24"/>
          <w:szCs w:val="28"/>
          <w:highlight w:val="none"/>
          <w:lang w:val="en-US" w:eastAsia="zh-CN"/>
        </w:rPr>
        <w:t>本</w:t>
      </w:r>
      <w:r>
        <w:rPr>
          <w:rFonts w:hint="eastAsia" w:ascii="仿宋_GB2312" w:hAnsi="仿宋_GB2312" w:eastAsia="仿宋_GB2312" w:cs="仿宋_GB2312"/>
          <w:sz w:val="24"/>
          <w:szCs w:val="24"/>
          <w:highlight w:val="none"/>
          <w:lang w:val="en-US" w:eastAsia="zh-CN"/>
        </w:rPr>
        <w:t>低温液氩储罐布置应与原供气站储罐、布局整体保持一致，包括但不限于储罐间距、储罐外表面喷涂颜色（白色）、储罐基座等</w:t>
      </w:r>
      <w:r>
        <w:rPr>
          <w:rFonts w:hint="eastAsia" w:ascii="仿宋_GB2312" w:hAnsi="仿宋_GB2312" w:eastAsia="仿宋_GB2312" w:cs="仿宋_GB2312"/>
          <w:b w:val="0"/>
          <w:bCs/>
          <w:color w:val="auto"/>
          <w:kern w:val="2"/>
          <w:sz w:val="24"/>
          <w:szCs w:val="28"/>
          <w:highlight w:val="none"/>
          <w:lang w:val="en-US" w:eastAsia="zh-CN" w:bidi="ar-SA"/>
        </w:rPr>
        <w:t>。同时，设计图需经招标方确认。</w:t>
      </w:r>
    </w:p>
    <w:p w14:paraId="242AE807">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液氩空温式气化器</w:t>
      </w:r>
      <w:bookmarkEnd w:id="104"/>
    </w:p>
    <w:p w14:paraId="4E2E9D21">
      <w:pPr>
        <w:pStyle w:val="73"/>
        <w:keepNext/>
        <w:keepLines w:val="0"/>
        <w:pageBreakBefore w:val="0"/>
        <w:widowControl w:val="0"/>
        <w:kinsoku/>
        <w:topLinePunct w:val="0"/>
        <w:bidi w:val="0"/>
        <w:spacing w:line="360" w:lineRule="auto"/>
        <w:ind w:left="0" w:leftChars="0" w:firstLine="480" w:firstLineChars="200"/>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SA"/>
        </w:rPr>
        <w:t>1000Nm</w:t>
      </w:r>
      <w:r>
        <w:rPr>
          <w:rFonts w:hint="eastAsia" w:ascii="仿宋_GB2312" w:hAnsi="仿宋_GB2312" w:eastAsia="仿宋_GB2312" w:cs="仿宋_GB2312"/>
          <w:highlight w:val="none"/>
          <w:vertAlign w:val="superscript"/>
          <w:lang w:val="en-US" w:eastAsia="zh-CN"/>
        </w:rPr>
        <w:t>3</w:t>
      </w:r>
      <w:r>
        <w:rPr>
          <w:rFonts w:hint="eastAsia" w:ascii="仿宋_GB2312" w:hAnsi="仿宋_GB2312" w:eastAsia="仿宋_GB2312" w:cs="仿宋_GB2312"/>
          <w:color w:val="000000"/>
          <w:kern w:val="0"/>
          <w:sz w:val="24"/>
          <w:szCs w:val="24"/>
          <w:highlight w:val="none"/>
          <w:lang w:val="en-US" w:eastAsia="zh-CN" w:bidi="ar-SA"/>
        </w:rPr>
        <w:t>/h</w:t>
      </w:r>
      <w:r>
        <w:rPr>
          <w:rFonts w:hint="eastAsia" w:ascii="仿宋_GB2312" w:hAnsi="仿宋_GB2312" w:eastAsia="仿宋_GB2312" w:cs="仿宋_GB2312"/>
          <w:color w:val="000000"/>
          <w:sz w:val="24"/>
          <w:szCs w:val="24"/>
          <w:highlight w:val="none"/>
          <w:lang w:val="en-US" w:eastAsia="zh-CN"/>
        </w:rPr>
        <w:t>液氩空温式气化器</w:t>
      </w:r>
    </w:p>
    <w:bookmarkEnd w:id="105"/>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2319"/>
        <w:gridCol w:w="2523"/>
        <w:gridCol w:w="2809"/>
      </w:tblGrid>
      <w:tr w14:paraId="072A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2176A4C7">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序号</w:t>
            </w:r>
          </w:p>
        </w:tc>
        <w:tc>
          <w:tcPr>
            <w:tcW w:w="2319" w:type="dxa"/>
            <w:noWrap w:val="0"/>
            <w:vAlign w:val="center"/>
          </w:tcPr>
          <w:p w14:paraId="7E799BEE">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项目</w:t>
            </w:r>
          </w:p>
        </w:tc>
        <w:tc>
          <w:tcPr>
            <w:tcW w:w="2523" w:type="dxa"/>
            <w:noWrap w:val="0"/>
            <w:vAlign w:val="center"/>
          </w:tcPr>
          <w:p w14:paraId="3BC2D15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参数</w:t>
            </w:r>
          </w:p>
        </w:tc>
        <w:tc>
          <w:tcPr>
            <w:tcW w:w="2809" w:type="dxa"/>
            <w:noWrap w:val="0"/>
            <w:vAlign w:val="center"/>
          </w:tcPr>
          <w:p w14:paraId="126617C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备注</w:t>
            </w:r>
          </w:p>
        </w:tc>
      </w:tr>
      <w:tr w14:paraId="481A2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06A78DE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w:t>
            </w:r>
          </w:p>
        </w:tc>
        <w:tc>
          <w:tcPr>
            <w:tcW w:w="2319" w:type="dxa"/>
            <w:noWrap w:val="0"/>
            <w:vAlign w:val="center"/>
          </w:tcPr>
          <w:p w14:paraId="241E693E">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设备名称</w:t>
            </w:r>
          </w:p>
        </w:tc>
        <w:tc>
          <w:tcPr>
            <w:tcW w:w="2523" w:type="dxa"/>
            <w:noWrap w:val="0"/>
            <w:vAlign w:val="center"/>
          </w:tcPr>
          <w:p w14:paraId="4801412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空浴式气化器</w:t>
            </w:r>
          </w:p>
        </w:tc>
        <w:tc>
          <w:tcPr>
            <w:tcW w:w="2809" w:type="dxa"/>
            <w:noWrap w:val="0"/>
            <w:vAlign w:val="center"/>
          </w:tcPr>
          <w:p w14:paraId="3719FE9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6EB14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4869B1EC">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w:t>
            </w:r>
          </w:p>
        </w:tc>
        <w:tc>
          <w:tcPr>
            <w:tcW w:w="2319" w:type="dxa"/>
            <w:noWrap w:val="0"/>
            <w:vAlign w:val="center"/>
          </w:tcPr>
          <w:p w14:paraId="5E114B5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结构形式</w:t>
            </w:r>
          </w:p>
        </w:tc>
        <w:tc>
          <w:tcPr>
            <w:tcW w:w="2523" w:type="dxa"/>
            <w:noWrap w:val="0"/>
            <w:vAlign w:val="center"/>
          </w:tcPr>
          <w:p w14:paraId="0BC4381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立式</w:t>
            </w:r>
          </w:p>
        </w:tc>
        <w:tc>
          <w:tcPr>
            <w:tcW w:w="2809" w:type="dxa"/>
            <w:noWrap w:val="0"/>
            <w:vAlign w:val="center"/>
          </w:tcPr>
          <w:p w14:paraId="7754E44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25BCB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41575848">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p>
        </w:tc>
        <w:tc>
          <w:tcPr>
            <w:tcW w:w="2319" w:type="dxa"/>
            <w:noWrap w:val="0"/>
            <w:vAlign w:val="center"/>
          </w:tcPr>
          <w:p w14:paraId="52ECDA8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额定流量</w:t>
            </w:r>
          </w:p>
        </w:tc>
        <w:tc>
          <w:tcPr>
            <w:tcW w:w="2523" w:type="dxa"/>
            <w:noWrap w:val="0"/>
            <w:vAlign w:val="center"/>
          </w:tcPr>
          <w:p w14:paraId="120AEA4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w:t>
            </w:r>
            <w:bookmarkStart w:id="106" w:name="OLE_LINK1"/>
            <w:r>
              <w:rPr>
                <w:rFonts w:hint="eastAsia" w:ascii="仿宋_GB2312" w:hAnsi="仿宋_GB2312" w:eastAsia="仿宋_GB2312" w:cs="仿宋_GB2312"/>
                <w:color w:val="000000"/>
                <w:kern w:val="0"/>
                <w:sz w:val="24"/>
                <w:szCs w:val="24"/>
                <w:highlight w:val="none"/>
                <w:lang w:val="en-US" w:eastAsia="zh-CN" w:bidi="ar-SA"/>
              </w:rPr>
              <w:t>1000Nm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w:t>
            </w:r>
            <w:bookmarkEnd w:id="106"/>
          </w:p>
        </w:tc>
        <w:tc>
          <w:tcPr>
            <w:tcW w:w="2809" w:type="dxa"/>
            <w:noWrap w:val="0"/>
            <w:vAlign w:val="center"/>
          </w:tcPr>
          <w:p w14:paraId="6D446FF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2868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1" w:type="dxa"/>
            <w:noWrap w:val="0"/>
            <w:vAlign w:val="center"/>
          </w:tcPr>
          <w:p w14:paraId="0DEDE61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w:t>
            </w:r>
          </w:p>
        </w:tc>
        <w:tc>
          <w:tcPr>
            <w:tcW w:w="2319" w:type="dxa"/>
            <w:noWrap w:val="0"/>
            <w:vAlign w:val="center"/>
          </w:tcPr>
          <w:p w14:paraId="0600B63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加热形式</w:t>
            </w:r>
          </w:p>
        </w:tc>
        <w:tc>
          <w:tcPr>
            <w:tcW w:w="2523" w:type="dxa"/>
            <w:noWrap w:val="0"/>
            <w:vAlign w:val="center"/>
          </w:tcPr>
          <w:p w14:paraId="302212A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空气换热</w:t>
            </w:r>
          </w:p>
        </w:tc>
        <w:tc>
          <w:tcPr>
            <w:tcW w:w="2809" w:type="dxa"/>
            <w:noWrap w:val="0"/>
            <w:vAlign w:val="center"/>
          </w:tcPr>
          <w:p w14:paraId="4072853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03217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3B5754BE">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w:t>
            </w:r>
          </w:p>
        </w:tc>
        <w:tc>
          <w:tcPr>
            <w:tcW w:w="2319" w:type="dxa"/>
            <w:noWrap w:val="0"/>
            <w:vAlign w:val="center"/>
          </w:tcPr>
          <w:p w14:paraId="2052158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工作温度TW（℃）</w:t>
            </w:r>
          </w:p>
        </w:tc>
        <w:tc>
          <w:tcPr>
            <w:tcW w:w="2523" w:type="dxa"/>
            <w:noWrap w:val="0"/>
            <w:vAlign w:val="center"/>
          </w:tcPr>
          <w:p w14:paraId="279F8CC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-196-80</w:t>
            </w:r>
          </w:p>
        </w:tc>
        <w:tc>
          <w:tcPr>
            <w:tcW w:w="2809" w:type="dxa"/>
            <w:noWrap w:val="0"/>
            <w:vAlign w:val="center"/>
          </w:tcPr>
          <w:p w14:paraId="46EF280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4EBF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7376C927">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6</w:t>
            </w:r>
          </w:p>
        </w:tc>
        <w:tc>
          <w:tcPr>
            <w:tcW w:w="2319" w:type="dxa"/>
            <w:noWrap w:val="0"/>
            <w:vAlign w:val="center"/>
          </w:tcPr>
          <w:p w14:paraId="02C2995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出口温度Td（℃）</w:t>
            </w:r>
          </w:p>
        </w:tc>
        <w:tc>
          <w:tcPr>
            <w:tcW w:w="2523" w:type="dxa"/>
            <w:noWrap w:val="0"/>
            <w:vAlign w:val="center"/>
          </w:tcPr>
          <w:p w14:paraId="28A5B3FD">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常温</w:t>
            </w:r>
          </w:p>
        </w:tc>
        <w:tc>
          <w:tcPr>
            <w:tcW w:w="2809" w:type="dxa"/>
            <w:noWrap w:val="0"/>
            <w:vAlign w:val="center"/>
          </w:tcPr>
          <w:p w14:paraId="1864748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32463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0047BFF2">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bookmarkStart w:id="107" w:name="OLE_LINK23"/>
            <w:r>
              <w:rPr>
                <w:rFonts w:hint="eastAsia" w:ascii="仿宋_GB2312" w:hAnsi="仿宋_GB2312" w:eastAsia="仿宋_GB2312" w:cs="仿宋_GB2312"/>
                <w:color w:val="000000"/>
                <w:kern w:val="0"/>
                <w:sz w:val="24"/>
                <w:szCs w:val="24"/>
                <w:highlight w:val="none"/>
                <w:lang w:val="en-US" w:eastAsia="zh-CN" w:bidi="ar-SA"/>
              </w:rPr>
              <w:t>7</w:t>
            </w:r>
          </w:p>
        </w:tc>
        <w:tc>
          <w:tcPr>
            <w:tcW w:w="2319" w:type="dxa"/>
            <w:noWrap w:val="0"/>
            <w:vAlign w:val="center"/>
          </w:tcPr>
          <w:p w14:paraId="0DB04C4C">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进出口</w:t>
            </w:r>
            <w:bookmarkEnd w:id="107"/>
            <w:r>
              <w:rPr>
                <w:rFonts w:hint="eastAsia" w:ascii="仿宋_GB2312" w:hAnsi="仿宋_GB2312" w:eastAsia="仿宋_GB2312" w:cs="仿宋_GB2312"/>
                <w:color w:val="000000"/>
                <w:kern w:val="0"/>
                <w:sz w:val="24"/>
                <w:szCs w:val="24"/>
                <w:highlight w:val="none"/>
                <w:lang w:val="en-US" w:eastAsia="zh-CN" w:bidi="ar-SA"/>
              </w:rPr>
              <w:t>径</w:t>
            </w:r>
          </w:p>
        </w:tc>
        <w:tc>
          <w:tcPr>
            <w:tcW w:w="2523" w:type="dxa"/>
            <w:noWrap w:val="0"/>
            <w:vAlign w:val="center"/>
          </w:tcPr>
          <w:p w14:paraId="3AA9453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DN40/DN80</w:t>
            </w:r>
          </w:p>
        </w:tc>
        <w:tc>
          <w:tcPr>
            <w:tcW w:w="2809" w:type="dxa"/>
            <w:noWrap w:val="0"/>
            <w:vAlign w:val="center"/>
          </w:tcPr>
          <w:p w14:paraId="1522EE4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01AA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66AD90B6">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8</w:t>
            </w:r>
          </w:p>
        </w:tc>
        <w:tc>
          <w:tcPr>
            <w:tcW w:w="2319" w:type="dxa"/>
            <w:noWrap w:val="0"/>
            <w:vAlign w:val="center"/>
          </w:tcPr>
          <w:p w14:paraId="57D3D22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主体材质</w:t>
            </w:r>
          </w:p>
        </w:tc>
        <w:tc>
          <w:tcPr>
            <w:tcW w:w="2523" w:type="dxa"/>
            <w:noWrap w:val="0"/>
            <w:vAlign w:val="center"/>
          </w:tcPr>
          <w:p w14:paraId="479C30A2">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LF21防锈铝合金</w:t>
            </w:r>
          </w:p>
        </w:tc>
        <w:tc>
          <w:tcPr>
            <w:tcW w:w="2809" w:type="dxa"/>
            <w:noWrap w:val="0"/>
            <w:vAlign w:val="center"/>
          </w:tcPr>
          <w:p w14:paraId="4444028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底座、支架材料选项用角型LF21防锈铝合金</w:t>
            </w:r>
          </w:p>
        </w:tc>
      </w:tr>
      <w:tr w14:paraId="357D6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72A7CE88">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9</w:t>
            </w:r>
          </w:p>
        </w:tc>
        <w:tc>
          <w:tcPr>
            <w:tcW w:w="2319" w:type="dxa"/>
            <w:noWrap w:val="0"/>
            <w:vAlign w:val="center"/>
          </w:tcPr>
          <w:p w14:paraId="00F9A0D6">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连续工作时限</w:t>
            </w:r>
          </w:p>
        </w:tc>
        <w:tc>
          <w:tcPr>
            <w:tcW w:w="2523" w:type="dxa"/>
            <w:noWrap w:val="0"/>
            <w:vAlign w:val="center"/>
          </w:tcPr>
          <w:p w14:paraId="40C568A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8000h</w:t>
            </w:r>
          </w:p>
        </w:tc>
        <w:tc>
          <w:tcPr>
            <w:tcW w:w="2809" w:type="dxa"/>
            <w:noWrap w:val="0"/>
            <w:vAlign w:val="center"/>
          </w:tcPr>
          <w:p w14:paraId="2D35746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AF12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71" w:type="dxa"/>
            <w:noWrap w:val="0"/>
            <w:vAlign w:val="center"/>
          </w:tcPr>
          <w:p w14:paraId="030F903C">
            <w:pPr>
              <w:keepNext/>
              <w:keepLines w:val="0"/>
              <w:pageBreakBefore w:val="0"/>
              <w:widowControl w:val="0"/>
              <w:kinsoku/>
              <w:topLinePunct w:val="0"/>
              <w:bidi w:val="0"/>
              <w:ind w:left="0" w:leftChars="0" w:firstLine="0" w:firstLineChars="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10</w:t>
            </w:r>
          </w:p>
        </w:tc>
        <w:tc>
          <w:tcPr>
            <w:tcW w:w="2319" w:type="dxa"/>
            <w:noWrap w:val="0"/>
            <w:vAlign w:val="center"/>
          </w:tcPr>
          <w:p w14:paraId="3B56BA1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压力损失</w:t>
            </w:r>
          </w:p>
        </w:tc>
        <w:tc>
          <w:tcPr>
            <w:tcW w:w="2523" w:type="dxa"/>
            <w:noWrap w:val="0"/>
            <w:vAlign w:val="center"/>
          </w:tcPr>
          <w:p w14:paraId="57A0921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≤0.05MPa</w:t>
            </w:r>
          </w:p>
        </w:tc>
        <w:tc>
          <w:tcPr>
            <w:tcW w:w="2809" w:type="dxa"/>
            <w:noWrap w:val="0"/>
            <w:vAlign w:val="center"/>
          </w:tcPr>
          <w:p w14:paraId="7BD4546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bl>
    <w:p w14:paraId="0DAD7D57">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bookmarkStart w:id="108" w:name="OLE_LINK36"/>
      <w:r>
        <w:rPr>
          <w:rFonts w:hint="eastAsia" w:ascii="仿宋_GB2312" w:hAnsi="仿宋_GB2312" w:eastAsia="仿宋_GB2312" w:cs="仿宋_GB2312"/>
          <w:sz w:val="24"/>
          <w:szCs w:val="24"/>
          <w:highlight w:val="none"/>
          <w:lang w:val="en-US" w:eastAsia="zh-CN"/>
        </w:rPr>
        <w:t>氩气调压阀组</w:t>
      </w:r>
    </w:p>
    <w:bookmarkEnd w:id="108"/>
    <w:p w14:paraId="0770B232">
      <w:pPr>
        <w:keepNext/>
        <w:keepLines w:val="0"/>
        <w:pageBreakBefore w:val="0"/>
        <w:widowControl w:val="0"/>
        <w:kinsoku/>
        <w:topLinePunct w:val="0"/>
        <w:bidi w:val="0"/>
        <w:spacing w:line="360" w:lineRule="auto"/>
        <w:ind w:left="0" w:leftChars="0" w:firstLine="480" w:firstLineChars="200"/>
        <w:jc w:val="center"/>
        <w:rPr>
          <w:rFonts w:hint="eastAsia"/>
          <w:highlight w:val="none"/>
        </w:rPr>
      </w:pPr>
      <w:r>
        <w:rPr>
          <w:rFonts w:hint="eastAsia" w:ascii="仿宋_GB2312" w:hAnsi="仿宋_GB2312" w:eastAsia="仿宋_GB2312" w:cs="仿宋_GB2312"/>
          <w:color w:val="000000"/>
          <w:kern w:val="0"/>
          <w:sz w:val="24"/>
          <w:szCs w:val="24"/>
          <w:highlight w:val="none"/>
          <w:lang w:val="en-US" w:eastAsia="zh-CN" w:bidi="ar-SA"/>
        </w:rPr>
        <w:t>氩气调压阀组</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0"/>
        <w:gridCol w:w="2308"/>
        <w:gridCol w:w="2499"/>
        <w:gridCol w:w="2825"/>
      </w:tblGrid>
      <w:tr w14:paraId="7CF17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11BEDAD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序号</w:t>
            </w:r>
          </w:p>
        </w:tc>
        <w:tc>
          <w:tcPr>
            <w:tcW w:w="2308" w:type="dxa"/>
            <w:noWrap w:val="0"/>
            <w:vAlign w:val="center"/>
          </w:tcPr>
          <w:p w14:paraId="35128D9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项目</w:t>
            </w:r>
          </w:p>
        </w:tc>
        <w:tc>
          <w:tcPr>
            <w:tcW w:w="2499" w:type="dxa"/>
            <w:noWrap w:val="0"/>
            <w:vAlign w:val="center"/>
          </w:tcPr>
          <w:p w14:paraId="7DDD534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参数</w:t>
            </w:r>
          </w:p>
        </w:tc>
        <w:tc>
          <w:tcPr>
            <w:tcW w:w="2825" w:type="dxa"/>
            <w:noWrap w:val="0"/>
            <w:vAlign w:val="center"/>
          </w:tcPr>
          <w:p w14:paraId="7C4CC82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备注</w:t>
            </w:r>
          </w:p>
        </w:tc>
      </w:tr>
      <w:tr w14:paraId="0C228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1D80CD5E">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w:t>
            </w:r>
          </w:p>
        </w:tc>
        <w:tc>
          <w:tcPr>
            <w:tcW w:w="2308" w:type="dxa"/>
            <w:noWrap w:val="0"/>
            <w:vAlign w:val="center"/>
          </w:tcPr>
          <w:p w14:paraId="3F8B99C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结构形式</w:t>
            </w:r>
          </w:p>
        </w:tc>
        <w:tc>
          <w:tcPr>
            <w:tcW w:w="2499" w:type="dxa"/>
            <w:noWrap w:val="0"/>
            <w:vAlign w:val="center"/>
          </w:tcPr>
          <w:p w14:paraId="3C80B836">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卧式</w:t>
            </w:r>
          </w:p>
        </w:tc>
        <w:tc>
          <w:tcPr>
            <w:tcW w:w="2825" w:type="dxa"/>
            <w:noWrap w:val="0"/>
            <w:vAlign w:val="center"/>
          </w:tcPr>
          <w:p w14:paraId="35E9559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4EC94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11673464">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w:t>
            </w:r>
          </w:p>
        </w:tc>
        <w:tc>
          <w:tcPr>
            <w:tcW w:w="2308" w:type="dxa"/>
            <w:noWrap w:val="0"/>
            <w:vAlign w:val="center"/>
          </w:tcPr>
          <w:p w14:paraId="6F102C3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额定流量</w:t>
            </w:r>
          </w:p>
        </w:tc>
        <w:tc>
          <w:tcPr>
            <w:tcW w:w="2499" w:type="dxa"/>
            <w:noWrap w:val="0"/>
            <w:vAlign w:val="center"/>
          </w:tcPr>
          <w:p w14:paraId="2195EC9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≥1000Nm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w:t>
            </w:r>
          </w:p>
        </w:tc>
        <w:tc>
          <w:tcPr>
            <w:tcW w:w="2825" w:type="dxa"/>
            <w:noWrap w:val="0"/>
            <w:vAlign w:val="center"/>
          </w:tcPr>
          <w:p w14:paraId="427CA55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3566C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733CC916">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p>
        </w:tc>
        <w:tc>
          <w:tcPr>
            <w:tcW w:w="2308" w:type="dxa"/>
            <w:noWrap w:val="0"/>
            <w:vAlign w:val="center"/>
          </w:tcPr>
          <w:p w14:paraId="4EF7CC6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进口压力</w:t>
            </w:r>
          </w:p>
        </w:tc>
        <w:tc>
          <w:tcPr>
            <w:tcW w:w="2499" w:type="dxa"/>
            <w:noWrap w:val="0"/>
            <w:vAlign w:val="center"/>
          </w:tcPr>
          <w:p w14:paraId="5DACB47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≤1.59MPa</w:t>
            </w:r>
          </w:p>
        </w:tc>
        <w:tc>
          <w:tcPr>
            <w:tcW w:w="2825" w:type="dxa"/>
            <w:noWrap w:val="0"/>
            <w:vAlign w:val="center"/>
          </w:tcPr>
          <w:p w14:paraId="0F47CD3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D03E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513AB1CA">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w:t>
            </w:r>
          </w:p>
        </w:tc>
        <w:tc>
          <w:tcPr>
            <w:tcW w:w="2308" w:type="dxa"/>
            <w:noWrap w:val="0"/>
            <w:vAlign w:val="center"/>
          </w:tcPr>
          <w:p w14:paraId="46B12D6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出口压力范围</w:t>
            </w:r>
          </w:p>
        </w:tc>
        <w:tc>
          <w:tcPr>
            <w:tcW w:w="2499" w:type="dxa"/>
            <w:noWrap w:val="0"/>
            <w:vAlign w:val="center"/>
          </w:tcPr>
          <w:p w14:paraId="1DB2E2C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0.5-1.0MPa</w:t>
            </w:r>
          </w:p>
        </w:tc>
        <w:tc>
          <w:tcPr>
            <w:tcW w:w="2825" w:type="dxa"/>
            <w:noWrap w:val="0"/>
            <w:vAlign w:val="center"/>
          </w:tcPr>
          <w:p w14:paraId="7D48C84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63265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277F587B">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w:t>
            </w:r>
          </w:p>
        </w:tc>
        <w:tc>
          <w:tcPr>
            <w:tcW w:w="2308" w:type="dxa"/>
            <w:noWrap w:val="0"/>
            <w:vAlign w:val="center"/>
          </w:tcPr>
          <w:p w14:paraId="41B8D8A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气体介质</w:t>
            </w:r>
          </w:p>
        </w:tc>
        <w:tc>
          <w:tcPr>
            <w:tcW w:w="2499" w:type="dxa"/>
            <w:noWrap w:val="0"/>
            <w:vAlign w:val="center"/>
          </w:tcPr>
          <w:p w14:paraId="253B27AD">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氩气</w:t>
            </w:r>
          </w:p>
        </w:tc>
        <w:tc>
          <w:tcPr>
            <w:tcW w:w="2825" w:type="dxa"/>
            <w:noWrap w:val="0"/>
            <w:vAlign w:val="center"/>
          </w:tcPr>
          <w:p w14:paraId="06D9903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5E497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0D105C7B">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6</w:t>
            </w:r>
          </w:p>
        </w:tc>
        <w:tc>
          <w:tcPr>
            <w:tcW w:w="2308" w:type="dxa"/>
            <w:noWrap w:val="0"/>
            <w:vAlign w:val="center"/>
          </w:tcPr>
          <w:p w14:paraId="1D772A8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调节形式</w:t>
            </w:r>
          </w:p>
        </w:tc>
        <w:tc>
          <w:tcPr>
            <w:tcW w:w="2499" w:type="dxa"/>
            <w:noWrap w:val="0"/>
            <w:vAlign w:val="center"/>
          </w:tcPr>
          <w:p w14:paraId="290E3FC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自力式</w:t>
            </w:r>
          </w:p>
        </w:tc>
        <w:tc>
          <w:tcPr>
            <w:tcW w:w="2825" w:type="dxa"/>
            <w:noWrap w:val="0"/>
            <w:vAlign w:val="center"/>
          </w:tcPr>
          <w:p w14:paraId="15CCB67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双路</w:t>
            </w:r>
          </w:p>
        </w:tc>
      </w:tr>
      <w:tr w14:paraId="64410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0E5CF920">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7</w:t>
            </w:r>
          </w:p>
        </w:tc>
        <w:tc>
          <w:tcPr>
            <w:tcW w:w="2308" w:type="dxa"/>
            <w:noWrap w:val="0"/>
            <w:vAlign w:val="center"/>
          </w:tcPr>
          <w:p w14:paraId="7F768D8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出口管径</w:t>
            </w:r>
          </w:p>
        </w:tc>
        <w:tc>
          <w:tcPr>
            <w:tcW w:w="2499" w:type="dxa"/>
            <w:noWrap w:val="0"/>
            <w:vAlign w:val="center"/>
          </w:tcPr>
          <w:p w14:paraId="7E562D0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DN80</w:t>
            </w:r>
          </w:p>
        </w:tc>
        <w:tc>
          <w:tcPr>
            <w:tcW w:w="2825" w:type="dxa"/>
            <w:noWrap w:val="0"/>
            <w:vAlign w:val="center"/>
          </w:tcPr>
          <w:p w14:paraId="3517C39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2C0BE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90" w:type="dxa"/>
            <w:noWrap w:val="0"/>
            <w:vAlign w:val="center"/>
          </w:tcPr>
          <w:p w14:paraId="49FE29D6">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8</w:t>
            </w:r>
          </w:p>
        </w:tc>
        <w:tc>
          <w:tcPr>
            <w:tcW w:w="2308" w:type="dxa"/>
            <w:noWrap w:val="0"/>
            <w:vAlign w:val="center"/>
          </w:tcPr>
          <w:p w14:paraId="2AC963E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材质</w:t>
            </w:r>
          </w:p>
        </w:tc>
        <w:tc>
          <w:tcPr>
            <w:tcW w:w="2499" w:type="dxa"/>
            <w:noWrap w:val="0"/>
            <w:vAlign w:val="center"/>
          </w:tcPr>
          <w:p w14:paraId="00D097E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S30408 不锈钢</w:t>
            </w:r>
          </w:p>
        </w:tc>
        <w:tc>
          <w:tcPr>
            <w:tcW w:w="2825" w:type="dxa"/>
            <w:noWrap w:val="0"/>
            <w:vAlign w:val="center"/>
          </w:tcPr>
          <w:p w14:paraId="6EDBB74F">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bl>
    <w:p w14:paraId="59F7FFDC">
      <w:pPr>
        <w:pStyle w:val="5"/>
        <w:keepNext/>
        <w:keepLines w:val="0"/>
        <w:pageBreakBefore w:val="0"/>
        <w:widowControl w:val="0"/>
        <w:numPr>
          <w:ilvl w:val="0"/>
          <w:numId w:val="23"/>
        </w:numPr>
        <w:kinsoku/>
        <w:topLinePunct w:val="0"/>
        <w:bidi w:val="0"/>
        <w:rPr>
          <w:rFonts w:hint="default" w:ascii="仿宋_GB2312" w:hAnsi="仿宋_GB2312" w:eastAsia="仿宋_GB2312" w:cs="仿宋_GB2312"/>
          <w:sz w:val="24"/>
          <w:szCs w:val="24"/>
          <w:highlight w:val="none"/>
          <w:lang w:val="en-US" w:eastAsia="zh-CN"/>
        </w:rPr>
      </w:pPr>
      <w:bookmarkStart w:id="109" w:name="OLE_LINK37"/>
      <w:r>
        <w:rPr>
          <w:rFonts w:hint="eastAsia" w:ascii="仿宋_GB2312" w:hAnsi="仿宋_GB2312" w:eastAsia="仿宋_GB2312" w:cs="仿宋_GB2312"/>
          <w:sz w:val="24"/>
          <w:szCs w:val="24"/>
          <w:highlight w:val="none"/>
          <w:lang w:val="en-US" w:eastAsia="zh-CN"/>
        </w:rPr>
        <w:t>混合气体配比柜</w:t>
      </w:r>
      <w:bookmarkEnd w:id="109"/>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2319"/>
        <w:gridCol w:w="2761"/>
        <w:gridCol w:w="2557"/>
      </w:tblGrid>
      <w:tr w14:paraId="01AF9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5FBDE5CD">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序号</w:t>
            </w:r>
          </w:p>
        </w:tc>
        <w:tc>
          <w:tcPr>
            <w:tcW w:w="2319" w:type="dxa"/>
            <w:noWrap w:val="0"/>
            <w:vAlign w:val="center"/>
          </w:tcPr>
          <w:p w14:paraId="27F46ED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项目</w:t>
            </w:r>
          </w:p>
        </w:tc>
        <w:tc>
          <w:tcPr>
            <w:tcW w:w="2761" w:type="dxa"/>
            <w:noWrap w:val="0"/>
            <w:vAlign w:val="center"/>
          </w:tcPr>
          <w:p w14:paraId="710CD9E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参数</w:t>
            </w:r>
          </w:p>
        </w:tc>
        <w:tc>
          <w:tcPr>
            <w:tcW w:w="2557" w:type="dxa"/>
            <w:noWrap w:val="0"/>
            <w:vAlign w:val="center"/>
          </w:tcPr>
          <w:p w14:paraId="5260E53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备注</w:t>
            </w:r>
          </w:p>
        </w:tc>
      </w:tr>
      <w:tr w14:paraId="1824B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6F9E761F">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w:t>
            </w:r>
          </w:p>
        </w:tc>
        <w:tc>
          <w:tcPr>
            <w:tcW w:w="2319" w:type="dxa"/>
            <w:noWrap w:val="0"/>
            <w:vAlign w:val="center"/>
          </w:tcPr>
          <w:p w14:paraId="62D1B0C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输入介质</w:t>
            </w:r>
          </w:p>
        </w:tc>
        <w:tc>
          <w:tcPr>
            <w:tcW w:w="2761" w:type="dxa"/>
            <w:noWrap w:val="0"/>
            <w:vAlign w:val="center"/>
          </w:tcPr>
          <w:p w14:paraId="5548C40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氩气、二氧化碳气</w:t>
            </w:r>
          </w:p>
        </w:tc>
        <w:tc>
          <w:tcPr>
            <w:tcW w:w="2557" w:type="dxa"/>
            <w:noWrap w:val="0"/>
            <w:vAlign w:val="center"/>
          </w:tcPr>
          <w:p w14:paraId="018121D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275C0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57C50468">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w:t>
            </w:r>
          </w:p>
        </w:tc>
        <w:tc>
          <w:tcPr>
            <w:tcW w:w="2319" w:type="dxa"/>
            <w:noWrap w:val="0"/>
            <w:vAlign w:val="center"/>
          </w:tcPr>
          <w:p w14:paraId="4F58141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输入压力</w:t>
            </w:r>
          </w:p>
        </w:tc>
        <w:tc>
          <w:tcPr>
            <w:tcW w:w="2761" w:type="dxa"/>
            <w:noWrap w:val="0"/>
            <w:vAlign w:val="center"/>
          </w:tcPr>
          <w:p w14:paraId="0928E4D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0.6-1.0MPa</w:t>
            </w:r>
          </w:p>
        </w:tc>
        <w:tc>
          <w:tcPr>
            <w:tcW w:w="2557" w:type="dxa"/>
            <w:noWrap w:val="0"/>
            <w:vAlign w:val="center"/>
          </w:tcPr>
          <w:p w14:paraId="39F701D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0F145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1CB2E41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w:t>
            </w:r>
          </w:p>
        </w:tc>
        <w:tc>
          <w:tcPr>
            <w:tcW w:w="2319" w:type="dxa"/>
            <w:noWrap w:val="0"/>
            <w:vAlign w:val="center"/>
          </w:tcPr>
          <w:p w14:paraId="42150946">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最大耐压</w:t>
            </w:r>
          </w:p>
        </w:tc>
        <w:tc>
          <w:tcPr>
            <w:tcW w:w="2761" w:type="dxa"/>
            <w:noWrap w:val="0"/>
            <w:vAlign w:val="center"/>
          </w:tcPr>
          <w:p w14:paraId="705DA3C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≥1.6MPa</w:t>
            </w:r>
          </w:p>
        </w:tc>
        <w:tc>
          <w:tcPr>
            <w:tcW w:w="2557" w:type="dxa"/>
            <w:noWrap w:val="0"/>
            <w:vAlign w:val="center"/>
          </w:tcPr>
          <w:p w14:paraId="6A6DA6B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5A6AF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5A72B495">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w:t>
            </w:r>
          </w:p>
        </w:tc>
        <w:tc>
          <w:tcPr>
            <w:tcW w:w="2319" w:type="dxa"/>
            <w:noWrap w:val="0"/>
            <w:vAlign w:val="center"/>
          </w:tcPr>
          <w:p w14:paraId="6D0653A0">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控制压力</w:t>
            </w:r>
          </w:p>
        </w:tc>
        <w:tc>
          <w:tcPr>
            <w:tcW w:w="2761" w:type="dxa"/>
            <w:noWrap w:val="0"/>
            <w:vAlign w:val="center"/>
          </w:tcPr>
          <w:p w14:paraId="62F2498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≥0.2-0.6MPa</w:t>
            </w:r>
          </w:p>
        </w:tc>
        <w:tc>
          <w:tcPr>
            <w:tcW w:w="2557" w:type="dxa"/>
            <w:noWrap w:val="0"/>
            <w:vAlign w:val="center"/>
          </w:tcPr>
          <w:p w14:paraId="667A78D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610EB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75A020E7">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w:t>
            </w:r>
          </w:p>
        </w:tc>
        <w:tc>
          <w:tcPr>
            <w:tcW w:w="2319" w:type="dxa"/>
            <w:noWrap w:val="0"/>
            <w:vAlign w:val="center"/>
          </w:tcPr>
          <w:p w14:paraId="2555E69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输出流量</w:t>
            </w:r>
          </w:p>
        </w:tc>
        <w:tc>
          <w:tcPr>
            <w:tcW w:w="2761" w:type="dxa"/>
            <w:noWrap w:val="0"/>
            <w:vAlign w:val="center"/>
          </w:tcPr>
          <w:p w14:paraId="240DDA6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≥500Nm³/h</w:t>
            </w:r>
          </w:p>
        </w:tc>
        <w:tc>
          <w:tcPr>
            <w:tcW w:w="2557" w:type="dxa"/>
            <w:noWrap w:val="0"/>
            <w:vAlign w:val="center"/>
          </w:tcPr>
          <w:p w14:paraId="770D1BD1">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可调</w:t>
            </w:r>
          </w:p>
        </w:tc>
      </w:tr>
      <w:tr w14:paraId="5E059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62856F73">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6</w:t>
            </w:r>
          </w:p>
        </w:tc>
        <w:tc>
          <w:tcPr>
            <w:tcW w:w="2319" w:type="dxa"/>
            <w:noWrap w:val="0"/>
            <w:vAlign w:val="center"/>
          </w:tcPr>
          <w:p w14:paraId="0316E22B">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出口管径</w:t>
            </w:r>
          </w:p>
        </w:tc>
        <w:tc>
          <w:tcPr>
            <w:tcW w:w="2761" w:type="dxa"/>
            <w:noWrap w:val="0"/>
            <w:vAlign w:val="center"/>
          </w:tcPr>
          <w:p w14:paraId="2C600DA6">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DN80</w:t>
            </w:r>
          </w:p>
        </w:tc>
        <w:tc>
          <w:tcPr>
            <w:tcW w:w="2557" w:type="dxa"/>
            <w:noWrap w:val="0"/>
            <w:vAlign w:val="center"/>
          </w:tcPr>
          <w:p w14:paraId="2F1220C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6969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1132EA37">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7</w:t>
            </w:r>
          </w:p>
        </w:tc>
        <w:tc>
          <w:tcPr>
            <w:tcW w:w="2319" w:type="dxa"/>
            <w:noWrap w:val="0"/>
            <w:vAlign w:val="center"/>
          </w:tcPr>
          <w:p w14:paraId="4B182C08">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配比精度</w:t>
            </w:r>
          </w:p>
        </w:tc>
        <w:tc>
          <w:tcPr>
            <w:tcW w:w="2761" w:type="dxa"/>
            <w:noWrap w:val="0"/>
            <w:vAlign w:val="center"/>
          </w:tcPr>
          <w:p w14:paraId="624E5CAA">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二氧化碳±1%</w:t>
            </w:r>
          </w:p>
        </w:tc>
        <w:tc>
          <w:tcPr>
            <w:tcW w:w="2557" w:type="dxa"/>
            <w:noWrap w:val="0"/>
            <w:vAlign w:val="center"/>
          </w:tcPr>
          <w:p w14:paraId="2EEB956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04ED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6DDE1DD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8</w:t>
            </w:r>
          </w:p>
        </w:tc>
        <w:tc>
          <w:tcPr>
            <w:tcW w:w="2319" w:type="dxa"/>
            <w:noWrap w:val="0"/>
            <w:vAlign w:val="top"/>
          </w:tcPr>
          <w:p w14:paraId="5C054953">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比例显示方式</w:t>
            </w:r>
          </w:p>
        </w:tc>
        <w:tc>
          <w:tcPr>
            <w:tcW w:w="2761" w:type="dxa"/>
            <w:noWrap w:val="0"/>
            <w:vAlign w:val="top"/>
          </w:tcPr>
          <w:p w14:paraId="577AE29C">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在线分析仪</w:t>
            </w:r>
          </w:p>
        </w:tc>
        <w:tc>
          <w:tcPr>
            <w:tcW w:w="2557" w:type="dxa"/>
            <w:noWrap w:val="0"/>
            <w:vAlign w:val="center"/>
          </w:tcPr>
          <w:p w14:paraId="31A5608D">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6CBC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2A3B09E6">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9</w:t>
            </w:r>
          </w:p>
        </w:tc>
        <w:tc>
          <w:tcPr>
            <w:tcW w:w="2319" w:type="dxa"/>
            <w:noWrap w:val="0"/>
            <w:vAlign w:val="top"/>
          </w:tcPr>
          <w:p w14:paraId="47EFEFE2">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报警方式</w:t>
            </w:r>
          </w:p>
        </w:tc>
        <w:tc>
          <w:tcPr>
            <w:tcW w:w="2761" w:type="dxa"/>
            <w:noWrap w:val="0"/>
            <w:vAlign w:val="top"/>
          </w:tcPr>
          <w:p w14:paraId="1C1C96F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声光报警</w:t>
            </w:r>
          </w:p>
        </w:tc>
        <w:tc>
          <w:tcPr>
            <w:tcW w:w="2557" w:type="dxa"/>
            <w:noWrap w:val="0"/>
            <w:vAlign w:val="center"/>
          </w:tcPr>
          <w:p w14:paraId="2DCABE99">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7472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643585A9">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10</w:t>
            </w:r>
          </w:p>
        </w:tc>
        <w:tc>
          <w:tcPr>
            <w:tcW w:w="2319" w:type="dxa"/>
            <w:noWrap w:val="0"/>
            <w:vAlign w:val="top"/>
          </w:tcPr>
          <w:p w14:paraId="7DD3047D">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电源</w:t>
            </w:r>
          </w:p>
        </w:tc>
        <w:tc>
          <w:tcPr>
            <w:tcW w:w="2761" w:type="dxa"/>
            <w:noWrap w:val="0"/>
            <w:vAlign w:val="top"/>
          </w:tcPr>
          <w:p w14:paraId="4CA11344">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220V 50Hz</w:t>
            </w:r>
          </w:p>
        </w:tc>
        <w:tc>
          <w:tcPr>
            <w:tcW w:w="2557" w:type="dxa"/>
            <w:noWrap w:val="0"/>
            <w:vAlign w:val="center"/>
          </w:tcPr>
          <w:p w14:paraId="3BD6F34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p>
        </w:tc>
      </w:tr>
      <w:tr w14:paraId="77F2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85" w:type="dxa"/>
            <w:noWrap w:val="0"/>
            <w:vAlign w:val="center"/>
          </w:tcPr>
          <w:p w14:paraId="12E075B6">
            <w:pPr>
              <w:keepNext/>
              <w:keepLines w:val="0"/>
              <w:pageBreakBefore w:val="0"/>
              <w:widowControl w:val="0"/>
              <w:kinsoku/>
              <w:topLinePunct w:val="0"/>
              <w:bidi w:val="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11</w:t>
            </w:r>
          </w:p>
        </w:tc>
        <w:tc>
          <w:tcPr>
            <w:tcW w:w="2319" w:type="dxa"/>
            <w:noWrap w:val="0"/>
            <w:vAlign w:val="center"/>
          </w:tcPr>
          <w:p w14:paraId="1AA11567">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配比方式</w:t>
            </w:r>
          </w:p>
        </w:tc>
        <w:tc>
          <w:tcPr>
            <w:tcW w:w="2761" w:type="dxa"/>
            <w:noWrap w:val="0"/>
            <w:vAlign w:val="center"/>
          </w:tcPr>
          <w:p w14:paraId="5B0B3A95">
            <w:pPr>
              <w:keepNext/>
              <w:keepLines w:val="0"/>
              <w:pageBreakBefore w:val="0"/>
              <w:widowControl w:val="0"/>
              <w:kinsoku/>
              <w:topLinePunct w:val="0"/>
              <w:bidi w:val="0"/>
              <w:ind w:left="0" w:leftChars="0" w:firstLine="0" w:firstLineChars="0"/>
              <w:jc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二氧化碳的比例0 -30 %</w:t>
            </w:r>
          </w:p>
        </w:tc>
        <w:tc>
          <w:tcPr>
            <w:tcW w:w="2557" w:type="dxa"/>
            <w:noWrap w:val="0"/>
            <w:vAlign w:val="center"/>
          </w:tcPr>
          <w:p w14:paraId="45E99E42">
            <w:pPr>
              <w:keepNext/>
              <w:keepLines w:val="0"/>
              <w:pageBreakBefore w:val="0"/>
              <w:widowControl w:val="0"/>
              <w:kinsoku/>
              <w:topLinePunct w:val="0"/>
              <w:bidi w:val="0"/>
              <w:jc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可调</w:t>
            </w:r>
          </w:p>
        </w:tc>
      </w:tr>
    </w:tbl>
    <w:p w14:paraId="0A92D02A">
      <w:pPr>
        <w:pStyle w:val="5"/>
        <w:keepNext/>
        <w:keepLines w:val="0"/>
        <w:pageBreakBefore w:val="0"/>
        <w:widowControl w:val="0"/>
        <w:numPr>
          <w:ilvl w:val="0"/>
          <w:numId w:val="23"/>
        </w:numPr>
        <w:kinsoku/>
        <w:topLinePunct w:val="0"/>
        <w:bidi w:val="0"/>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管道改造</w:t>
      </w:r>
    </w:p>
    <w:p w14:paraId="3661D306">
      <w:pPr>
        <w:keepNext/>
        <w:keepLines w:val="0"/>
        <w:pageBreakBefore w:val="0"/>
        <w:widowControl w:val="0"/>
        <w:numPr>
          <w:ilvl w:val="0"/>
          <w:numId w:val="24"/>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投标人对混合气站改造需提供详细的改造方案，并负责原有设备管道与新增设备管道连接改造。</w:t>
      </w:r>
    </w:p>
    <w:p w14:paraId="3DF14FBB">
      <w:pPr>
        <w:keepNext/>
        <w:keepLines w:val="0"/>
        <w:pageBreakBefore w:val="0"/>
        <w:widowControl w:val="0"/>
        <w:numPr>
          <w:ilvl w:val="0"/>
          <w:numId w:val="24"/>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由于扩展需要，对二氧化碳管路需设置旁通管路，连接至配比柜出口，增加两套阀门并用盲板封堵；配比柜出口设置二路管道，其中一路为预留管道，并配置阀门并用盲板封堵。</w:t>
      </w:r>
    </w:p>
    <w:p w14:paraId="00A43393">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bookmarkStart w:id="110" w:name="OLE_LINK3"/>
      <w:r>
        <w:rPr>
          <w:rFonts w:hint="eastAsia" w:ascii="仿宋_GB2312" w:hAnsi="仿宋_GB2312" w:eastAsia="仿宋_GB2312" w:cs="仿宋_GB2312"/>
          <w:sz w:val="24"/>
          <w:szCs w:val="24"/>
          <w:highlight w:val="none"/>
          <w:lang w:val="en-US" w:eastAsia="zh-CN"/>
        </w:rPr>
        <w:t>标准和规范</w:t>
      </w:r>
    </w:p>
    <w:p w14:paraId="45FB89E6">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合同中所有设备、备品备件，投标人从第三方获得的所有附件和设备及安装单位遵循的安装要求，除本规范中规定的技术参数和要求外，其余均应遵照最新版本的特种设备相关法律法规和国家标准。</w:t>
      </w:r>
    </w:p>
    <w:p w14:paraId="71EC17B1">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GB／T 150（所有部分）</w:t>
      </w:r>
      <w:bookmarkEnd w:id="110"/>
      <w:bookmarkStart w:id="111" w:name="OLE_LINK7"/>
      <w:r>
        <w:rPr>
          <w:rFonts w:hint="eastAsia" w:ascii="仿宋_GB2312" w:hAnsi="仿宋_GB2312" w:eastAsia="仿宋_GB2312" w:cs="仿宋_GB2312"/>
          <w:color w:val="000000"/>
          <w:kern w:val="0"/>
          <w:sz w:val="24"/>
          <w:szCs w:val="24"/>
          <w:highlight w:val="none"/>
          <w:lang w:val="en-US" w:eastAsia="zh-CN" w:bidi="ar-SA"/>
        </w:rPr>
        <w:t xml:space="preserve">     《压力容器》</w:t>
      </w:r>
      <w:bookmarkEnd w:id="111"/>
    </w:p>
    <w:p w14:paraId="26F75CEE">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bookmarkStart w:id="112" w:name="OLE_LINK4"/>
      <w:r>
        <w:rPr>
          <w:rFonts w:hint="eastAsia" w:ascii="仿宋_GB2312" w:hAnsi="仿宋_GB2312" w:eastAsia="仿宋_GB2312" w:cs="仿宋_GB2312"/>
          <w:color w:val="000000"/>
          <w:kern w:val="0"/>
          <w:sz w:val="24"/>
          <w:szCs w:val="24"/>
          <w:highlight w:val="none"/>
          <w:lang w:val="en-US" w:eastAsia="zh-CN" w:bidi="ar-SA"/>
        </w:rPr>
        <w:t>GB／T 18442（所有部分）</w:t>
      </w:r>
      <w:bookmarkEnd w:id="112"/>
      <w:r>
        <w:rPr>
          <w:rFonts w:hint="eastAsia" w:ascii="仿宋_GB2312" w:hAnsi="仿宋_GB2312" w:eastAsia="仿宋_GB2312" w:cs="仿宋_GB2312"/>
          <w:color w:val="000000"/>
          <w:kern w:val="0"/>
          <w:sz w:val="24"/>
          <w:szCs w:val="24"/>
          <w:highlight w:val="none"/>
          <w:lang w:val="en-US" w:eastAsia="zh-CN" w:bidi="ar-SA"/>
        </w:rPr>
        <w:t xml:space="preserve">   《固定式真空绝热深冷压力容器》</w:t>
      </w:r>
    </w:p>
    <w:p w14:paraId="64EF61C1">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GB／T 20801（所有部分）   《压力管道规范 工业管道》</w:t>
      </w:r>
    </w:p>
    <w:p w14:paraId="3F235611">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bookmarkStart w:id="113" w:name="OLE_LINK5"/>
      <w:r>
        <w:rPr>
          <w:rFonts w:hint="eastAsia" w:ascii="仿宋_GB2312" w:hAnsi="仿宋_GB2312" w:eastAsia="仿宋_GB2312" w:cs="仿宋_GB2312"/>
          <w:color w:val="000000"/>
          <w:kern w:val="0"/>
          <w:sz w:val="24"/>
          <w:szCs w:val="24"/>
          <w:highlight w:val="none"/>
          <w:lang w:val="en-US" w:eastAsia="zh-CN" w:bidi="ar-SA"/>
        </w:rPr>
        <w:t>GB 50030                  《氧气站设计规范》</w:t>
      </w:r>
    </w:p>
    <w:p w14:paraId="5510E9C7">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GB 50057                  《建筑物防雷设计规范》</w:t>
      </w:r>
    </w:p>
    <w:p w14:paraId="47CBF638">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GB 50058</w:t>
      </w:r>
      <w:bookmarkStart w:id="114" w:name="OLE_LINK8"/>
      <w:r>
        <w:rPr>
          <w:rFonts w:hint="eastAsia" w:ascii="仿宋_GB2312" w:hAnsi="仿宋_GB2312" w:eastAsia="仿宋_GB2312" w:cs="仿宋_GB2312"/>
          <w:color w:val="000000"/>
          <w:kern w:val="0"/>
          <w:sz w:val="24"/>
          <w:szCs w:val="24"/>
          <w:highlight w:val="none"/>
          <w:lang w:val="en-US" w:eastAsia="zh-CN" w:bidi="ar-SA"/>
        </w:rPr>
        <w:t xml:space="preserve">                  《爆炸危险环境电力装置设计规范》</w:t>
      </w:r>
      <w:bookmarkEnd w:id="114"/>
    </w:p>
    <w:p w14:paraId="23523F19">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GB 55037                  《建筑防火通用规范》</w:t>
      </w:r>
    </w:p>
    <w:p w14:paraId="5C2AF108">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JB／T 6898                《低温液体贮运设备 使用安全规则》</w:t>
      </w:r>
    </w:p>
    <w:p w14:paraId="3FDE1279">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TSG21                     《固定式压力容器安全技术监察规程》</w:t>
      </w:r>
    </w:p>
    <w:p w14:paraId="0942EC4B">
      <w:pPr>
        <w:keepNext/>
        <w:keepLines w:val="0"/>
        <w:pageBreakBefore w:val="0"/>
        <w:widowControl w:val="0"/>
        <w:kinsoku/>
        <w:topLinePunct w:val="0"/>
        <w:bidi w:val="0"/>
        <w:spacing w:line="360" w:lineRule="auto"/>
        <w:ind w:left="0" w:leftChars="0" w:firstLine="480" w:firstLineChars="20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TSG R7001                 《压力容器定期检验规则》</w:t>
      </w:r>
    </w:p>
    <w:bookmarkEnd w:id="113"/>
    <w:p w14:paraId="7DF94168">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安装、调试与培训</w:t>
      </w:r>
    </w:p>
    <w:p w14:paraId="3AB5121E">
      <w:pPr>
        <w:keepNext/>
        <w:keepLines w:val="0"/>
        <w:pageBreakBefore w:val="0"/>
        <w:widowControl w:val="0"/>
        <w:numPr>
          <w:ilvl w:val="0"/>
          <w:numId w:val="25"/>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安装过程：投标人需制定详细的安装与调试方案，报招标人确认。关键工序（如储罐就位、管道焊接、现有设备及管道改造等）应设置质量控制点并经双方签字确认。</w:t>
      </w:r>
    </w:p>
    <w:p w14:paraId="12D94B81">
      <w:pPr>
        <w:keepNext/>
        <w:keepLines w:val="0"/>
        <w:pageBreakBefore w:val="0"/>
        <w:widowControl w:val="0"/>
        <w:numPr>
          <w:ilvl w:val="0"/>
          <w:numId w:val="25"/>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技术培训：培训内容涵盖设备原理、操作规程、日常维护、故障诊断与排除、及应急处理预案。</w:t>
      </w:r>
    </w:p>
    <w:p w14:paraId="663B86D6">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项目执行与验收要求</w:t>
      </w:r>
    </w:p>
    <w:p w14:paraId="02197CA9">
      <w:pPr>
        <w:keepNext/>
        <w:keepLines w:val="0"/>
        <w:pageBreakBefore w:val="0"/>
        <w:widowControl w:val="0"/>
        <w:numPr>
          <w:ilvl w:val="0"/>
          <w:numId w:val="26"/>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出厂检验</w:t>
      </w:r>
    </w:p>
    <w:p w14:paraId="0E454832">
      <w:pPr>
        <w:keepNext/>
        <w:keepLines w:val="0"/>
        <w:pageBreakBefore w:val="0"/>
        <w:widowControl w:val="0"/>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投标人须按国家标准及本方案要求进行，并提供全套质量证明文件。</w:t>
      </w:r>
    </w:p>
    <w:p w14:paraId="2A8502D3">
      <w:pPr>
        <w:keepNext/>
        <w:keepLines w:val="0"/>
        <w:pageBreakBefore w:val="0"/>
        <w:widowControl w:val="0"/>
        <w:numPr>
          <w:ilvl w:val="0"/>
          <w:numId w:val="26"/>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性能测试</w:t>
      </w:r>
    </w:p>
    <w:p w14:paraId="1135E8D5">
      <w:pPr>
        <w:keepNext/>
        <w:keepLines w:val="0"/>
        <w:pageBreakBefore w:val="0"/>
        <w:widowControl w:val="0"/>
        <w:numPr>
          <w:ilvl w:val="0"/>
          <w:numId w:val="27"/>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强度与气密性试验：系统承压部分无泄漏、无压降。</w:t>
      </w:r>
    </w:p>
    <w:p w14:paraId="4DC85D3C">
      <w:pPr>
        <w:keepNext/>
        <w:keepLines w:val="0"/>
        <w:pageBreakBefore w:val="0"/>
        <w:widowControl w:val="0"/>
        <w:numPr>
          <w:ilvl w:val="0"/>
          <w:numId w:val="27"/>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系统吹扫：使用洁净、干燥气体吹扫至出口无杂质。</w:t>
      </w:r>
    </w:p>
    <w:p w14:paraId="7553C03C">
      <w:pPr>
        <w:keepNext/>
        <w:keepLines w:val="0"/>
        <w:pageBreakBefore w:val="0"/>
        <w:widowControl w:val="0"/>
        <w:numPr>
          <w:ilvl w:val="0"/>
          <w:numId w:val="27"/>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72小时连续运行测试：设备满负荷（500 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/h）运行72小时，监测并记录所有参数。</w:t>
      </w:r>
    </w:p>
    <w:p w14:paraId="6119A76D">
      <w:pPr>
        <w:keepNext/>
        <w:keepLines w:val="0"/>
        <w:pageBreakBefore w:val="0"/>
        <w:widowControl w:val="0"/>
        <w:numPr>
          <w:ilvl w:val="0"/>
          <w:numId w:val="27"/>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流量测试：输出流量稳定 ≥ 500 Nm</w:t>
      </w:r>
      <w:r>
        <w:rPr>
          <w:rFonts w:hint="eastAsia" w:ascii="仿宋_GB2312" w:hAnsi="仿宋_GB2312" w:eastAsia="仿宋_GB2312" w:cs="仿宋_GB2312"/>
          <w:color w:val="000000"/>
          <w:kern w:val="0"/>
          <w:sz w:val="24"/>
          <w:szCs w:val="24"/>
          <w:highlight w:val="none"/>
          <w:vertAlign w:val="superscript"/>
          <w:lang w:val="en-US" w:eastAsia="zh-CN" w:bidi="ar-SA"/>
        </w:rPr>
        <w:t>3</w:t>
      </w:r>
      <w:r>
        <w:rPr>
          <w:rFonts w:hint="eastAsia" w:ascii="仿宋_GB2312" w:hAnsi="仿宋_GB2312" w:eastAsia="仿宋_GB2312" w:cs="仿宋_GB2312"/>
          <w:color w:val="000000"/>
          <w:kern w:val="0"/>
          <w:sz w:val="24"/>
          <w:szCs w:val="24"/>
          <w:highlight w:val="none"/>
          <w:lang w:val="en-US" w:eastAsia="zh-CN" w:bidi="ar-SA"/>
        </w:rPr>
        <w:t>/h。</w:t>
      </w:r>
    </w:p>
    <w:p w14:paraId="4BBD4457">
      <w:pPr>
        <w:keepNext/>
        <w:keepLines w:val="0"/>
        <w:pageBreakBefore w:val="0"/>
        <w:widowControl w:val="0"/>
        <w:numPr>
          <w:ilvl w:val="0"/>
          <w:numId w:val="27"/>
        </w:numPr>
        <w:kinsoku/>
        <w:topLinePunct w:val="0"/>
        <w:bidi w:val="0"/>
        <w:spacing w:line="360" w:lineRule="auto"/>
        <w:ind w:left="5" w:leftChars="0" w:firstLine="412" w:firstLineChars="172"/>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配比精度测试：在70%、80%、100%额定流量下，二氧化碳浓度偏差均 ≤ ±1.0%。</w:t>
      </w:r>
    </w:p>
    <w:p w14:paraId="2A7F80FD">
      <w:pPr>
        <w:keepNext/>
        <w:keepLines w:val="0"/>
        <w:pageBreakBefore w:val="0"/>
        <w:widowControl w:val="0"/>
        <w:numPr>
          <w:ilvl w:val="0"/>
          <w:numId w:val="27"/>
        </w:numPr>
        <w:kinsoku/>
        <w:topLinePunct w:val="0"/>
        <w:bidi w:val="0"/>
        <w:spacing w:line="360" w:lineRule="auto"/>
        <w:ind w:left="0" w:leftChars="0" w:firstLine="420"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稳定性测试：连续8小时内，无因设备本身原因导致的停机或比例超差。</w:t>
      </w:r>
    </w:p>
    <w:p w14:paraId="217166E4">
      <w:pPr>
        <w:keepNext/>
        <w:keepLines w:val="0"/>
        <w:pageBreakBefore w:val="0"/>
        <w:widowControl w:val="0"/>
        <w:numPr>
          <w:ilvl w:val="0"/>
          <w:numId w:val="27"/>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安全测试：模拟超压、超温等异常工况，验证安全阀、紧急切断阀等保护装置准确、及时动作。</w:t>
      </w:r>
    </w:p>
    <w:p w14:paraId="40A6F7D5">
      <w:pPr>
        <w:keepNext/>
        <w:keepLines w:val="0"/>
        <w:pageBreakBefore w:val="0"/>
        <w:widowControl w:val="0"/>
        <w:numPr>
          <w:ilvl w:val="0"/>
          <w:numId w:val="26"/>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bookmarkStart w:id="115" w:name="_Toc466252998"/>
      <w:bookmarkStart w:id="116" w:name="_Toc199481169"/>
      <w:bookmarkStart w:id="117" w:name="_Toc466253667"/>
      <w:bookmarkStart w:id="118" w:name="_Toc466260118"/>
      <w:r>
        <w:rPr>
          <w:rFonts w:hint="eastAsia" w:ascii="仿宋_GB2312" w:hAnsi="仿宋_GB2312" w:eastAsia="仿宋_GB2312" w:cs="仿宋_GB2312"/>
          <w:color w:val="000000"/>
          <w:kern w:val="0"/>
          <w:sz w:val="24"/>
          <w:szCs w:val="24"/>
          <w:highlight w:val="none"/>
          <w:lang w:val="en-US" w:eastAsia="zh-CN" w:bidi="ar-SA"/>
        </w:rPr>
        <w:t>试运行和验收</w:t>
      </w:r>
      <w:bookmarkEnd w:id="115"/>
      <w:bookmarkEnd w:id="116"/>
      <w:bookmarkEnd w:id="117"/>
      <w:bookmarkEnd w:id="118"/>
      <w:bookmarkStart w:id="119" w:name="_Toc199481185"/>
    </w:p>
    <w:p w14:paraId="2B3D0ABE">
      <w:pPr>
        <w:keepNext/>
        <w:keepLines w:val="0"/>
        <w:pageBreakBefore w:val="0"/>
        <w:widowControl w:val="0"/>
        <w:numPr>
          <w:ilvl w:val="0"/>
          <w:numId w:val="28"/>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设备安装完成后，双方按技术协议要求进行检查验收。</w:t>
      </w:r>
    </w:p>
    <w:p w14:paraId="4C5E6E5F">
      <w:pPr>
        <w:keepNext/>
        <w:keepLines w:val="0"/>
        <w:pageBreakBefore w:val="0"/>
        <w:widowControl w:val="0"/>
        <w:numPr>
          <w:ilvl w:val="0"/>
          <w:numId w:val="28"/>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性能测试合格后方可试运行，试运行完成后双方进行检验并签署《试运行报告》，试运行时长不小于1个月，最终以投标人承诺的时间为准。</w:t>
      </w:r>
    </w:p>
    <w:p w14:paraId="4E4694BE">
      <w:pPr>
        <w:keepNext/>
        <w:keepLines w:val="0"/>
        <w:pageBreakBefore w:val="0"/>
        <w:widowControl w:val="0"/>
        <w:numPr>
          <w:ilvl w:val="0"/>
          <w:numId w:val="28"/>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终验收。该混合气站试运行完成后稳定运行，正常投入生产后根据使用状况甲乙双方协商终验收。终验收后，项目进入质保期。</w:t>
      </w:r>
    </w:p>
    <w:p w14:paraId="7D30D08E">
      <w:pPr>
        <w:keepNext/>
        <w:keepLines w:val="0"/>
        <w:pageBreakBefore w:val="0"/>
        <w:widowControl w:val="0"/>
        <w:numPr>
          <w:ilvl w:val="0"/>
          <w:numId w:val="28"/>
        </w:numPr>
        <w:kinsoku/>
        <w:topLinePunct w:val="0"/>
        <w:bidi w:val="0"/>
        <w:spacing w:line="360" w:lineRule="auto"/>
        <w:ind w:left="0" w:leftChars="0" w:firstLine="420" w:firstLineChars="175"/>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交付资料要求。要有完备的技术资料（中文），最终齐备的程序软件备份。</w:t>
      </w:r>
    </w:p>
    <w:p w14:paraId="61D6D40A">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备品备件</w:t>
      </w:r>
    </w:p>
    <w:p w14:paraId="166907FA">
      <w:pPr>
        <w:keepNext/>
        <w:keepLines w:val="0"/>
        <w:pageBreakBefore w:val="0"/>
        <w:widowControl w:val="0"/>
        <w:numPr>
          <w:ilvl w:val="0"/>
          <w:numId w:val="0"/>
        </w:numPr>
        <w:kinsoku/>
        <w:topLinePunct w:val="0"/>
        <w:bidi w:val="0"/>
        <w:spacing w:line="360" w:lineRule="auto"/>
        <w:ind w:left="0" w:leftChars="0" w:firstLine="420" w:firstLineChars="0"/>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需提供</w:t>
      </w:r>
      <w:r>
        <w:rPr>
          <w:rFonts w:hint="eastAsia" w:ascii="仿宋_GB2312" w:hAnsi="仿宋_GB2312" w:eastAsia="仿宋_GB2312" w:cs="仿宋_GB2312"/>
          <w:color w:val="000000"/>
          <w:kern w:val="0"/>
          <w:sz w:val="24"/>
          <w:szCs w:val="24"/>
          <w:highlight w:val="none"/>
          <w:lang w:val="en-GB" w:eastAsia="zh-CN" w:bidi="ar-SA"/>
        </w:rPr>
        <w:t>备品备件</w:t>
      </w:r>
      <w:r>
        <w:rPr>
          <w:rFonts w:hint="eastAsia" w:ascii="仿宋_GB2312" w:hAnsi="仿宋_GB2312" w:eastAsia="仿宋_GB2312" w:cs="仿宋_GB2312"/>
          <w:color w:val="000000"/>
          <w:kern w:val="0"/>
          <w:sz w:val="24"/>
          <w:szCs w:val="24"/>
          <w:highlight w:val="none"/>
          <w:lang w:val="en-US" w:eastAsia="zh-CN" w:bidi="ar-SA"/>
        </w:rPr>
        <w:t>清单，</w:t>
      </w:r>
      <w:r>
        <w:rPr>
          <w:rFonts w:hint="eastAsia" w:ascii="仿宋_GB2312" w:hAnsi="仿宋_GB2312" w:eastAsia="仿宋_GB2312" w:cs="仿宋_GB2312"/>
          <w:color w:val="000000"/>
          <w:kern w:val="0"/>
          <w:sz w:val="24"/>
          <w:szCs w:val="24"/>
          <w:highlight w:val="none"/>
          <w:lang w:val="en-GB" w:eastAsia="zh-CN" w:bidi="ar-SA"/>
        </w:rPr>
        <w:t>并在设备使用寿命期内，保证备件的供应</w:t>
      </w:r>
      <w:r>
        <w:rPr>
          <w:rFonts w:hint="eastAsia" w:ascii="仿宋_GB2312" w:hAnsi="仿宋_GB2312" w:eastAsia="仿宋_GB2312" w:cs="仿宋_GB2312"/>
          <w:color w:val="000000"/>
          <w:kern w:val="0"/>
          <w:sz w:val="24"/>
          <w:szCs w:val="24"/>
          <w:highlight w:val="none"/>
          <w:lang w:val="en-US" w:eastAsia="zh-CN" w:bidi="ar-SA"/>
        </w:rPr>
        <w:t>价格不高于投标报价。</w:t>
      </w:r>
    </w:p>
    <w:bookmarkEnd w:id="119"/>
    <w:p w14:paraId="771598C8">
      <w:pPr>
        <w:pStyle w:val="5"/>
        <w:keepNext/>
        <w:keepLines w:val="0"/>
        <w:pageBreakBefore w:val="0"/>
        <w:widowControl w:val="0"/>
        <w:numPr>
          <w:ilvl w:val="0"/>
          <w:numId w:val="23"/>
        </w:numPr>
        <w:kinsoku/>
        <w:topLinePunct w:val="0"/>
        <w:bidi w:val="0"/>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售后服务要求</w:t>
      </w:r>
    </w:p>
    <w:p w14:paraId="7F904CDD">
      <w:pPr>
        <w:keepNext/>
        <w:keepLines w:val="0"/>
        <w:pageBreakBefore w:val="0"/>
        <w:widowControl w:val="0"/>
        <w:numPr>
          <w:ilvl w:val="0"/>
          <w:numId w:val="29"/>
        </w:numPr>
        <w:tabs>
          <w:tab w:val="left" w:pos="993"/>
        </w:tabs>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质保期自终验收之日起计算，</w:t>
      </w:r>
      <w:r>
        <w:rPr>
          <w:rFonts w:hint="eastAsia" w:ascii="仿宋_GB2312" w:hAnsi="仿宋_GB2312" w:eastAsia="仿宋_GB2312" w:cs="仿宋_GB2312"/>
          <w:color w:val="auto"/>
          <w:sz w:val="24"/>
          <w:szCs w:val="24"/>
          <w:highlight w:val="none"/>
          <w:lang w:val="en-US" w:eastAsia="zh-CN"/>
        </w:rPr>
        <w:t>本项目新增设备及改造管道</w:t>
      </w:r>
      <w:r>
        <w:rPr>
          <w:rFonts w:hint="eastAsia" w:ascii="仿宋_GB2312" w:hAnsi="仿宋_GB2312" w:eastAsia="仿宋_GB2312" w:cs="仿宋_GB2312"/>
          <w:color w:val="auto"/>
          <w:sz w:val="24"/>
          <w:szCs w:val="24"/>
          <w:highlight w:val="none"/>
        </w:rPr>
        <w:t>质保期</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个月</w:t>
      </w:r>
      <w:r>
        <w:rPr>
          <w:rFonts w:hint="eastAsia" w:ascii="仿宋_GB2312" w:hAnsi="仿宋_GB2312" w:eastAsia="仿宋_GB2312" w:cs="仿宋_GB2312"/>
          <w:color w:val="auto"/>
          <w:sz w:val="24"/>
          <w:szCs w:val="24"/>
          <w:highlight w:val="none"/>
          <w:lang w:eastAsia="zh-CN"/>
        </w:rPr>
        <w:t>。</w:t>
      </w:r>
    </w:p>
    <w:p w14:paraId="1596EAE3">
      <w:pPr>
        <w:keepNext/>
        <w:keepLines w:val="0"/>
        <w:pageBreakBefore w:val="0"/>
        <w:widowControl w:val="0"/>
        <w:numPr>
          <w:ilvl w:val="0"/>
          <w:numId w:val="29"/>
        </w:numPr>
        <w:tabs>
          <w:tab w:val="left" w:pos="993"/>
        </w:tabs>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质保期间出现因</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产品质量问题产生的故障，</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在接收到</w:t>
      </w:r>
      <w:r>
        <w:rPr>
          <w:rFonts w:hint="eastAsia" w:ascii="仿宋_GB2312" w:hAnsi="仿宋_GB2312" w:eastAsia="仿宋_GB2312" w:cs="仿宋_GB2312"/>
          <w:color w:val="auto"/>
          <w:sz w:val="24"/>
          <w:szCs w:val="24"/>
          <w:highlight w:val="none"/>
          <w:lang w:eastAsia="zh-CN"/>
        </w:rPr>
        <w:t>招标人</w:t>
      </w:r>
      <w:r>
        <w:rPr>
          <w:rFonts w:hint="eastAsia" w:ascii="仿宋_GB2312" w:hAnsi="仿宋_GB2312" w:eastAsia="仿宋_GB2312" w:cs="仿宋_GB2312"/>
          <w:color w:val="auto"/>
          <w:sz w:val="24"/>
          <w:szCs w:val="24"/>
          <w:highlight w:val="none"/>
        </w:rPr>
        <w:t>通知后应2小时内响应，进行远程维修指导。对于用户无法自行排除的故障，</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应安排专业技术人员于24小时内前往</w:t>
      </w:r>
      <w:r>
        <w:rPr>
          <w:rFonts w:hint="eastAsia" w:ascii="仿宋_GB2312" w:hAnsi="仿宋_GB2312" w:eastAsia="仿宋_GB2312" w:cs="仿宋_GB2312"/>
          <w:color w:val="auto"/>
          <w:sz w:val="24"/>
          <w:szCs w:val="24"/>
          <w:highlight w:val="none"/>
          <w:lang w:eastAsia="zh-CN"/>
        </w:rPr>
        <w:t>招标人</w:t>
      </w:r>
      <w:r>
        <w:rPr>
          <w:rFonts w:hint="eastAsia" w:ascii="仿宋_GB2312" w:hAnsi="仿宋_GB2312" w:eastAsia="仿宋_GB2312" w:cs="仿宋_GB2312"/>
          <w:color w:val="auto"/>
          <w:sz w:val="24"/>
          <w:szCs w:val="24"/>
          <w:highlight w:val="none"/>
        </w:rPr>
        <w:t>现场排除故障。</w:t>
      </w:r>
    </w:p>
    <w:p w14:paraId="2D0AC9B0">
      <w:pPr>
        <w:keepNext/>
        <w:keepLines w:val="0"/>
        <w:pageBreakBefore w:val="0"/>
        <w:widowControl w:val="0"/>
        <w:numPr>
          <w:ilvl w:val="0"/>
          <w:numId w:val="29"/>
        </w:numPr>
        <w:tabs>
          <w:tab w:val="left" w:pos="993"/>
        </w:tabs>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质保期内出现任何非人为原因的质量问题，或者因设备本身缺陷引起的各种故障，均由</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负责维修（含产生的相关费用）。</w:t>
      </w:r>
    </w:p>
    <w:p w14:paraId="6A9AC7B1">
      <w:pPr>
        <w:keepNext/>
        <w:keepLines w:val="0"/>
        <w:pageBreakBefore w:val="0"/>
        <w:widowControl w:val="0"/>
        <w:numPr>
          <w:ilvl w:val="0"/>
          <w:numId w:val="29"/>
        </w:numPr>
        <w:tabs>
          <w:tab w:val="left" w:pos="993"/>
        </w:tabs>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质保期结束后，</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终生提供技术支持，如</w:t>
      </w:r>
      <w:r>
        <w:rPr>
          <w:rFonts w:hint="eastAsia" w:ascii="仿宋_GB2312" w:hAnsi="仿宋_GB2312" w:eastAsia="仿宋_GB2312" w:cs="仿宋_GB2312"/>
          <w:color w:val="auto"/>
          <w:sz w:val="24"/>
          <w:szCs w:val="24"/>
          <w:highlight w:val="none"/>
          <w:lang w:eastAsia="zh-CN"/>
        </w:rPr>
        <w:t>招标人</w:t>
      </w:r>
      <w:r>
        <w:rPr>
          <w:rFonts w:hint="eastAsia" w:ascii="仿宋_GB2312" w:hAnsi="仿宋_GB2312" w:eastAsia="仿宋_GB2312" w:cs="仿宋_GB2312"/>
          <w:color w:val="auto"/>
          <w:sz w:val="24"/>
          <w:szCs w:val="24"/>
          <w:highlight w:val="none"/>
        </w:rPr>
        <w:t>需采购相关备件，</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提供的配件价格不得高于同期市场价格平均水平。</w:t>
      </w:r>
    </w:p>
    <w:p w14:paraId="6D0DB9F1">
      <w:pPr>
        <w:keepNext/>
        <w:keepLines w:val="0"/>
        <w:pageBreakBefore w:val="0"/>
        <w:widowControl w:val="0"/>
        <w:numPr>
          <w:ilvl w:val="0"/>
          <w:numId w:val="29"/>
        </w:numPr>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对因设计、制造不良造成的设备零部件损坏或报废，</w:t>
      </w: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应根据</w:t>
      </w:r>
      <w:r>
        <w:rPr>
          <w:rFonts w:hint="eastAsia" w:ascii="仿宋_GB2312" w:hAnsi="仿宋_GB2312" w:eastAsia="仿宋_GB2312" w:cs="仿宋_GB2312"/>
          <w:color w:val="auto"/>
          <w:sz w:val="24"/>
          <w:szCs w:val="24"/>
          <w:highlight w:val="none"/>
          <w:lang w:eastAsia="zh-CN"/>
        </w:rPr>
        <w:t>招标人</w:t>
      </w:r>
      <w:r>
        <w:rPr>
          <w:rFonts w:hint="eastAsia" w:ascii="仿宋_GB2312" w:hAnsi="仿宋_GB2312" w:eastAsia="仿宋_GB2312" w:cs="仿宋_GB2312"/>
          <w:color w:val="auto"/>
          <w:sz w:val="24"/>
          <w:szCs w:val="24"/>
          <w:highlight w:val="none"/>
        </w:rPr>
        <w:t>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接到通知后</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日内赶到现场修复，并承担相关费用。更换后零部件质保期延长</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个月。</w:t>
      </w:r>
    </w:p>
    <w:p w14:paraId="013EA6BD">
      <w:pPr>
        <w:keepNext/>
        <w:keepLines w:val="0"/>
        <w:pageBreakBefore w:val="0"/>
        <w:widowControl w:val="0"/>
        <w:numPr>
          <w:ilvl w:val="0"/>
          <w:numId w:val="29"/>
        </w:numPr>
        <w:tabs>
          <w:tab w:val="left" w:pos="993"/>
        </w:tabs>
        <w:kinsoku/>
        <w:wordWrap/>
        <w:overflowPunct/>
        <w:topLinePunct w:val="0"/>
        <w:autoSpaceDE/>
        <w:autoSpaceDN/>
        <w:bidi w:val="0"/>
        <w:adjustRightInd/>
        <w:snapToGrid/>
        <w:spacing w:line="360" w:lineRule="auto"/>
        <w:ind w:left="10" w:leftChars="0" w:firstLine="410" w:firstLineChars="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lang w:val="en-US" w:eastAsia="zh-CN"/>
        </w:rPr>
        <w:t>对其设备配套的系统提供</w:t>
      </w:r>
      <w:r>
        <w:rPr>
          <w:rFonts w:hint="eastAsia" w:ascii="仿宋_GB2312" w:hAnsi="仿宋_GB2312" w:eastAsia="仿宋_GB2312" w:cs="仿宋_GB2312"/>
          <w:color w:val="auto"/>
          <w:sz w:val="24"/>
          <w:szCs w:val="24"/>
          <w:highlight w:val="none"/>
        </w:rPr>
        <w:t>终生免费技术支持。</w:t>
      </w:r>
    </w:p>
    <w:p w14:paraId="35B61078">
      <w:pPr>
        <w:pStyle w:val="5"/>
        <w:keepNext/>
        <w:keepLines w:val="0"/>
        <w:pageBreakBefore w:val="0"/>
        <w:widowControl w:val="0"/>
        <w:numPr>
          <w:ilvl w:val="0"/>
          <w:numId w:val="23"/>
        </w:numPr>
        <w:kinsoku/>
        <w:topLinePunct w:val="0"/>
        <w:bidi w:val="0"/>
        <w:rPr>
          <w:rFonts w:hint="eastAsia" w:ascii="仿宋_GB2312" w:hAnsi="仿宋_GB2312" w:eastAsia="仿宋_GB2312" w:cs="仿宋_GB2312"/>
          <w:sz w:val="24"/>
          <w:szCs w:val="24"/>
          <w:highlight w:val="none"/>
          <w:lang w:val="en-US" w:eastAsia="zh-CN"/>
        </w:rPr>
      </w:pPr>
      <w:bookmarkStart w:id="120" w:name="OLE_LINK29"/>
      <w:r>
        <w:rPr>
          <w:rFonts w:hint="eastAsia" w:ascii="仿宋_GB2312" w:hAnsi="仿宋_GB2312" w:eastAsia="仿宋_GB2312" w:cs="仿宋_GB2312"/>
          <w:sz w:val="24"/>
          <w:szCs w:val="24"/>
          <w:highlight w:val="none"/>
          <w:lang w:val="en-US" w:eastAsia="zh-CN"/>
        </w:rPr>
        <w:t>其他要求</w:t>
      </w:r>
    </w:p>
    <w:bookmarkEnd w:id="120"/>
    <w:p w14:paraId="0BC93C0A">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提供储罐安装施工前向当地市监局安装告知、施工安装完成后办理使用登记的全部资料。</w:t>
      </w:r>
    </w:p>
    <w:p w14:paraId="1F965660">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因本次采购设备，要求储罐出厂前需经第三方监检，包括焊缝检测、真空度测试等。设备布置考虑符合原有工艺、安全、操作及检修的要求，满足设计规范，及附属管道的设计、安装，储罐本体防雷接地应符合</w:t>
      </w:r>
      <w:bookmarkStart w:id="121" w:name="OLE_LINK2"/>
      <w:r>
        <w:rPr>
          <w:rFonts w:hint="eastAsia" w:ascii="仿宋_GB2312" w:hAnsi="仿宋_GB2312" w:eastAsia="仿宋_GB2312" w:cs="仿宋_GB2312"/>
          <w:color w:val="000000"/>
          <w:kern w:val="0"/>
          <w:sz w:val="24"/>
          <w:szCs w:val="24"/>
          <w:highlight w:val="none"/>
          <w:lang w:val="en-US" w:eastAsia="zh-CN" w:bidi="ar-SA"/>
        </w:rPr>
        <w:t>GB 50057-2010《建筑物防雷设计规范》</w:t>
      </w:r>
      <w:bookmarkEnd w:id="121"/>
      <w:r>
        <w:rPr>
          <w:rFonts w:hint="eastAsia" w:ascii="仿宋_GB2312" w:hAnsi="仿宋_GB2312" w:eastAsia="仿宋_GB2312" w:cs="仿宋_GB2312"/>
          <w:color w:val="000000"/>
          <w:kern w:val="0"/>
          <w:sz w:val="24"/>
          <w:szCs w:val="24"/>
          <w:highlight w:val="none"/>
          <w:lang w:val="en-US" w:eastAsia="zh-CN" w:bidi="ar-SA"/>
        </w:rPr>
        <w:t>，接地点不少于2处。</w:t>
      </w:r>
    </w:p>
    <w:p w14:paraId="0B02533C">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投标人采用有效措施或技术，保证工艺管道能适合于该装置。对配管系统的安全性（火灾、爆炸等）以及使用寿命明确阐述。</w:t>
      </w:r>
    </w:p>
    <w:p w14:paraId="7600BB33">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各设备之间的管道以及各设备与公用工程管线相连的管道提供配对法兰、垫片及其紧固件。液氩管道采用不锈钢，严禁采用折皱弯头。氩气管道设有导除静电的接地装置，不得敷设在非燃烧体的支架上。</w:t>
      </w:r>
    </w:p>
    <w:p w14:paraId="5456B2D3">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本次采购的储罐，储罐本体需具有自增压功能，压力达到设定值后保持罐体压力平稳，其送液阀、增压阀、放空阀需具备自动控制功能。</w:t>
      </w:r>
    </w:p>
    <w:p w14:paraId="3F6C6DEB">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安全阀、压力/液位传感器、紧急切断阀、阀门连通管、仪表等均应安装在便于操作和维修处，压力/液位传感器需配备远传功能，气体汽化器出口需配套安装温度报警或联锁装置，必须有可靠的加固和防震措施。</w:t>
      </w:r>
    </w:p>
    <w:p w14:paraId="139C7189">
      <w:pPr>
        <w:keepNext/>
        <w:keepLines w:val="0"/>
        <w:pageBreakBefore w:val="0"/>
        <w:widowControl w:val="0"/>
        <w:numPr>
          <w:ilvl w:val="0"/>
          <w:numId w:val="30"/>
        </w:numPr>
        <w:kinsoku/>
        <w:topLinePunct w:val="0"/>
        <w:bidi w:val="0"/>
        <w:spacing w:line="360" w:lineRule="auto"/>
        <w:ind w:left="5" w:leftChars="0" w:firstLine="415" w:firstLineChars="0"/>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所有配套安装的电力装置必须符合GB 50058-2014《爆炸危险环境电力装置设计规范》中规定的防爆要求。</w:t>
      </w:r>
      <w:bookmarkStart w:id="122" w:name="_Toc385317339"/>
    </w:p>
    <w:bookmarkEnd w:id="122"/>
    <w:p w14:paraId="5A0B659A">
      <w:pPr>
        <w:pStyle w:val="4"/>
        <w:keepNext/>
        <w:keepLines w:val="0"/>
        <w:pageBreakBefore w:val="0"/>
        <w:widowControl w:val="0"/>
        <w:numPr>
          <w:ilvl w:val="0"/>
          <w:numId w:val="22"/>
        </w:numPr>
        <w:kinsoku/>
        <w:topLinePunct w:val="0"/>
        <w:bidi w:val="0"/>
        <w:spacing w:line="240" w:lineRule="auto"/>
        <w:ind w:left="0" w:leftChars="0"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项目实施周期</w:t>
      </w:r>
    </w:p>
    <w:p w14:paraId="091F94A7">
      <w:pPr>
        <w:pStyle w:val="50"/>
        <w:keepNext/>
        <w:keepLines w:val="0"/>
        <w:pageBreakBefore w:val="0"/>
        <w:widowControl w:val="0"/>
        <w:tabs>
          <w:tab w:val="left" w:pos="2160"/>
        </w:tabs>
        <w:kinsoku/>
        <w:topLinePunct w:val="0"/>
        <w:bidi w:val="0"/>
        <w:ind w:left="0" w:leftChars="0" w:firstLine="420" w:firstLineChars="175"/>
        <w:jc w:val="both"/>
        <w:rPr>
          <w:rFonts w:hint="eastAsia" w:hAnsi="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本项目实施总周期</w:t>
      </w:r>
      <w:r>
        <w:rPr>
          <w:rFonts w:hint="eastAsia" w:hAnsi="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val="en-US" w:eastAsia="zh-CN"/>
        </w:rPr>
        <w:t>个月，其中硬件设备交货</w:t>
      </w:r>
      <w:r>
        <w:rPr>
          <w:rFonts w:hint="eastAsia" w:hAnsi="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val="en-US" w:eastAsia="zh-CN"/>
        </w:rPr>
        <w:t>个月，</w:t>
      </w:r>
      <w:r>
        <w:rPr>
          <w:rFonts w:hint="eastAsia" w:hAnsi="仿宋_GB2312" w:cs="仿宋_GB2312"/>
          <w:color w:val="auto"/>
          <w:sz w:val="24"/>
          <w:szCs w:val="24"/>
          <w:highlight w:val="none"/>
          <w:lang w:val="en-US" w:eastAsia="zh-CN"/>
        </w:rPr>
        <w:t>安装、</w:t>
      </w:r>
      <w:r>
        <w:rPr>
          <w:rFonts w:hint="eastAsia" w:ascii="仿宋_GB2312" w:hAnsi="仿宋_GB2312" w:eastAsia="仿宋_GB2312" w:cs="仿宋_GB2312"/>
          <w:color w:val="auto"/>
          <w:sz w:val="24"/>
          <w:szCs w:val="24"/>
          <w:highlight w:val="none"/>
          <w:lang w:val="en-US" w:eastAsia="zh-CN"/>
        </w:rPr>
        <w:t>调试</w:t>
      </w:r>
      <w:r>
        <w:rPr>
          <w:rFonts w:hint="eastAsia" w:hAnsi="仿宋_GB2312" w:cs="仿宋_GB2312"/>
          <w:color w:val="auto"/>
          <w:sz w:val="24"/>
          <w:szCs w:val="24"/>
          <w:highlight w:val="none"/>
          <w:lang w:val="en-US" w:eastAsia="zh-CN"/>
        </w:rPr>
        <w:t>、试运行</w:t>
      </w:r>
      <w:r>
        <w:rPr>
          <w:rFonts w:hint="eastAsia" w:ascii="仿宋_GB2312" w:hAnsi="仿宋_GB2312" w:eastAsia="仿宋_GB2312" w:cs="仿宋_GB2312"/>
          <w:color w:val="auto"/>
          <w:sz w:val="24"/>
          <w:szCs w:val="24"/>
          <w:highlight w:val="none"/>
          <w:lang w:val="en-US" w:eastAsia="zh-CN"/>
        </w:rPr>
        <w:t>1个月</w:t>
      </w:r>
      <w:r>
        <w:rPr>
          <w:rFonts w:hint="eastAsia" w:hAnsi="仿宋_GB2312" w:cs="仿宋_GB2312"/>
          <w:color w:val="auto"/>
          <w:sz w:val="24"/>
          <w:szCs w:val="24"/>
          <w:highlight w:val="none"/>
          <w:lang w:val="en-US" w:eastAsia="zh-CN"/>
        </w:rPr>
        <w:t>。</w:t>
      </w:r>
    </w:p>
    <w:p w14:paraId="120D6D61">
      <w:pPr>
        <w:pStyle w:val="2"/>
        <w:numPr>
          <w:ilvl w:val="0"/>
          <w:numId w:val="0"/>
        </w:numPr>
        <w:ind w:leftChars="0"/>
        <w:rPr>
          <w:rFonts w:hint="eastAsia"/>
          <w:b/>
          <w:bCs/>
          <w:lang w:val="en-US" w:eastAsia="zh-CN"/>
        </w:rPr>
      </w:pPr>
    </w:p>
    <w:p w14:paraId="3C585091">
      <w:pPr>
        <w:pStyle w:val="2"/>
        <w:numPr>
          <w:ilvl w:val="0"/>
          <w:numId w:val="0"/>
        </w:numPr>
        <w:ind w:leftChars="0"/>
        <w:rPr>
          <w:rFonts w:hint="eastAsia"/>
          <w:b/>
          <w:bCs/>
          <w:lang w:val="en-US" w:eastAsia="zh-CN"/>
        </w:rPr>
      </w:pPr>
    </w:p>
    <w:p w14:paraId="152D9FC3">
      <w:pPr>
        <w:pStyle w:val="2"/>
        <w:numPr>
          <w:ilvl w:val="0"/>
          <w:numId w:val="0"/>
        </w:numPr>
        <w:ind w:leftChars="0"/>
        <w:rPr>
          <w:rFonts w:hint="eastAsia"/>
          <w:b/>
          <w:bCs/>
          <w:lang w:val="en-US" w:eastAsia="zh-CN"/>
        </w:rPr>
      </w:pPr>
    </w:p>
    <w:p w14:paraId="1CD68859">
      <w:pPr>
        <w:pStyle w:val="50"/>
        <w:ind w:left="0" w:leftChars="0" w:firstLine="0" w:firstLineChars="0"/>
        <w:rPr>
          <w:rFonts w:hint="eastAsia"/>
          <w:b/>
          <w:bCs/>
          <w:lang w:val="en-US" w:eastAsia="zh-CN"/>
        </w:rPr>
      </w:pPr>
    </w:p>
    <w:p w14:paraId="2DDE06ED">
      <w:pPr>
        <w:pStyle w:val="50"/>
        <w:rPr>
          <w:rFonts w:hint="eastAsia"/>
          <w:b/>
          <w:bCs/>
          <w:lang w:val="en-US" w:eastAsia="zh-CN"/>
        </w:rPr>
      </w:pPr>
    </w:p>
    <w:p w14:paraId="602B2998">
      <w:pPr>
        <w:pStyle w:val="2"/>
        <w:numPr>
          <w:ilvl w:val="0"/>
          <w:numId w:val="0"/>
        </w:numPr>
        <w:ind w:leftChars="0"/>
        <w:jc w:val="center"/>
        <w:rPr>
          <w:rFonts w:hint="eastAsia"/>
          <w:b/>
          <w:bCs/>
        </w:rPr>
      </w:pPr>
      <w:bookmarkStart w:id="123" w:name="_Toc25862"/>
      <w:bookmarkStart w:id="124" w:name="_Toc2145"/>
      <w:bookmarkStart w:id="125" w:name="_Toc11257"/>
      <w:r>
        <w:rPr>
          <w:rFonts w:hint="eastAsia"/>
          <w:b/>
          <w:bCs/>
          <w:sz w:val="44"/>
          <w:szCs w:val="44"/>
          <w:lang w:val="en-US" w:eastAsia="zh-CN"/>
        </w:rPr>
        <w:t>第六章  投标文件格式</w:t>
      </w:r>
      <w:bookmarkEnd w:id="123"/>
      <w:bookmarkEnd w:id="124"/>
      <w:bookmarkEnd w:id="125"/>
    </w:p>
    <w:p w14:paraId="51CACF19">
      <w:pPr>
        <w:pStyle w:val="2"/>
        <w:numPr>
          <w:ilvl w:val="0"/>
          <w:numId w:val="0"/>
        </w:numPr>
        <w:spacing w:before="0" w:beforeAutospacing="0" w:after="0" w:afterAutospacing="0"/>
        <w:ind w:leftChars="0"/>
        <w:jc w:val="center"/>
        <w:rPr>
          <w:rFonts w:hint="eastAsia"/>
          <w:b/>
          <w:bCs/>
          <w:sz w:val="44"/>
          <w:szCs w:val="44"/>
        </w:rPr>
      </w:pPr>
    </w:p>
    <w:p w14:paraId="20C562F2">
      <w:pPr>
        <w:jc w:val="center"/>
        <w:rPr>
          <w:rFonts w:hint="eastAsia" w:ascii="黑体" w:eastAsia="黑体"/>
          <w:bCs/>
          <w:sz w:val="52"/>
          <w:szCs w:val="52"/>
        </w:rPr>
      </w:pPr>
    </w:p>
    <w:p w14:paraId="3B8F4D6C">
      <w:pPr>
        <w:jc w:val="center"/>
        <w:rPr>
          <w:rFonts w:hint="eastAsia" w:ascii="黑体" w:eastAsia="黑体"/>
          <w:bCs/>
          <w:sz w:val="52"/>
          <w:szCs w:val="52"/>
        </w:rPr>
      </w:pPr>
      <w:r>
        <w:rPr>
          <w:rFonts w:hint="eastAsia" w:ascii="黑体" w:eastAsia="黑体"/>
          <w:bCs/>
          <w:sz w:val="52"/>
          <w:szCs w:val="52"/>
        </w:rPr>
        <w:t>投</w:t>
      </w:r>
    </w:p>
    <w:p w14:paraId="6392AFBD">
      <w:pPr>
        <w:jc w:val="center"/>
        <w:rPr>
          <w:rFonts w:hint="eastAsia" w:ascii="黑体" w:eastAsia="黑体"/>
          <w:bCs/>
          <w:sz w:val="72"/>
        </w:rPr>
      </w:pPr>
    </w:p>
    <w:p w14:paraId="53C10E79">
      <w:pPr>
        <w:jc w:val="center"/>
        <w:rPr>
          <w:rFonts w:hint="eastAsia" w:ascii="黑体" w:eastAsia="黑体"/>
          <w:bCs/>
          <w:sz w:val="52"/>
          <w:szCs w:val="52"/>
        </w:rPr>
      </w:pPr>
      <w:r>
        <w:rPr>
          <w:rFonts w:hint="eastAsia" w:ascii="黑体" w:eastAsia="黑体"/>
          <w:bCs/>
          <w:sz w:val="52"/>
          <w:szCs w:val="52"/>
        </w:rPr>
        <w:t>标</w:t>
      </w:r>
    </w:p>
    <w:p w14:paraId="4654B803">
      <w:pPr>
        <w:jc w:val="center"/>
        <w:rPr>
          <w:rFonts w:hint="eastAsia" w:ascii="黑体" w:eastAsia="黑体"/>
          <w:bCs/>
          <w:sz w:val="72"/>
        </w:rPr>
      </w:pPr>
    </w:p>
    <w:p w14:paraId="655AE3A1">
      <w:pPr>
        <w:jc w:val="center"/>
        <w:rPr>
          <w:rFonts w:hint="eastAsia" w:ascii="黑体" w:eastAsia="黑体"/>
          <w:bCs/>
          <w:sz w:val="52"/>
          <w:szCs w:val="52"/>
        </w:rPr>
      </w:pPr>
      <w:r>
        <w:rPr>
          <w:rFonts w:hint="eastAsia" w:ascii="黑体" w:eastAsia="黑体"/>
          <w:bCs/>
          <w:sz w:val="52"/>
          <w:szCs w:val="52"/>
        </w:rPr>
        <w:t>文</w:t>
      </w:r>
    </w:p>
    <w:p w14:paraId="5EA0EDBF">
      <w:pPr>
        <w:jc w:val="center"/>
        <w:rPr>
          <w:rFonts w:hint="eastAsia" w:ascii="黑体" w:eastAsia="黑体"/>
          <w:bCs/>
          <w:sz w:val="52"/>
          <w:szCs w:val="52"/>
        </w:rPr>
      </w:pPr>
    </w:p>
    <w:p w14:paraId="7A19750D">
      <w:pPr>
        <w:jc w:val="center"/>
        <w:rPr>
          <w:rFonts w:hint="eastAsia" w:ascii="黑体" w:eastAsia="黑体"/>
          <w:bCs/>
          <w:sz w:val="52"/>
          <w:szCs w:val="52"/>
        </w:rPr>
      </w:pPr>
      <w:r>
        <w:rPr>
          <w:rFonts w:hint="eastAsia" w:ascii="黑体" w:eastAsia="黑体"/>
          <w:bCs/>
          <w:sz w:val="52"/>
          <w:szCs w:val="52"/>
        </w:rPr>
        <w:t>件</w:t>
      </w:r>
    </w:p>
    <w:p w14:paraId="0B53A950">
      <w:pPr>
        <w:rPr>
          <w:rFonts w:hint="eastAsia" w:ascii="方正楷体_GB2312" w:eastAsia="方正楷体_GB2312"/>
          <w:bCs/>
          <w:sz w:val="72"/>
        </w:rPr>
      </w:pPr>
    </w:p>
    <w:p w14:paraId="166B7F2F">
      <w:pPr>
        <w:rPr>
          <w:rFonts w:hint="eastAsia" w:ascii="方正楷体_GB2312" w:eastAsia="方正楷体_GB2312"/>
          <w:bCs/>
          <w:sz w:val="28"/>
        </w:rPr>
      </w:pPr>
    </w:p>
    <w:p w14:paraId="2C025D4B">
      <w:pPr>
        <w:ind w:firstLine="2240" w:firstLineChars="800"/>
        <w:rPr>
          <w:rFonts w:hint="default" w:ascii="黑体" w:eastAsia="黑体"/>
          <w:bCs/>
          <w:sz w:val="28"/>
          <w:szCs w:val="28"/>
          <w:lang w:val="en-US" w:eastAsia="zh-CN"/>
        </w:rPr>
      </w:pPr>
      <w:r>
        <w:rPr>
          <w:rFonts w:hint="eastAsia" w:ascii="黑体" w:eastAsia="黑体"/>
          <w:bCs/>
          <w:sz w:val="28"/>
          <w:szCs w:val="28"/>
        </w:rPr>
        <w:t>项目编号：</w:t>
      </w:r>
      <w:r>
        <w:rPr>
          <w:rFonts w:hint="eastAsia" w:ascii="黑体" w:hAnsi="华文中宋" w:eastAsia="黑体" w:cs="宋体"/>
          <w:bCs/>
          <w:color w:val="000000" w:themeColor="text1"/>
          <w:sz w:val="30"/>
          <w:szCs w:val="30"/>
          <w:lang w:val="en-US" w:eastAsia="zh-CN"/>
          <w14:textFill>
            <w14:solidFill>
              <w14:schemeClr w14:val="tx1"/>
            </w14:solidFill>
          </w14:textFill>
        </w:rPr>
        <w:t>LSPS-202-260811-005</w:t>
      </w:r>
    </w:p>
    <w:p w14:paraId="3DE61E84">
      <w:pPr>
        <w:ind w:left="3627" w:leftChars="928" w:hanging="1400" w:hangingChars="500"/>
        <w:rPr>
          <w:rFonts w:hint="eastAsia" w:ascii="黑体" w:eastAsia="黑体"/>
          <w:bCs/>
          <w:sz w:val="28"/>
          <w:szCs w:val="28"/>
        </w:rPr>
      </w:pPr>
      <w:r>
        <w:rPr>
          <w:rFonts w:hint="eastAsia" w:ascii="黑体" w:eastAsia="黑体"/>
          <w:bCs/>
          <w:sz w:val="28"/>
          <w:szCs w:val="28"/>
        </w:rPr>
        <w:t>项目名称：</w:t>
      </w:r>
      <w:r>
        <w:rPr>
          <w:rFonts w:hint="eastAsia" w:ascii="黑体" w:eastAsia="黑体"/>
          <w:bCs/>
          <w:sz w:val="28"/>
          <w:szCs w:val="28"/>
          <w:lang w:val="en-US" w:eastAsia="zh-CN"/>
        </w:rPr>
        <w:t>兰州兰石集团有限公司混合气站采购项目</w:t>
      </w:r>
    </w:p>
    <w:p w14:paraId="7D89C7AC">
      <w:pPr>
        <w:ind w:firstLine="2240" w:firstLineChars="800"/>
        <w:rPr>
          <w:rFonts w:hint="eastAsia" w:ascii="黑体" w:eastAsia="黑体"/>
          <w:bCs/>
          <w:sz w:val="28"/>
          <w:szCs w:val="28"/>
        </w:rPr>
      </w:pPr>
      <w:r>
        <w:rPr>
          <w:rFonts w:hint="eastAsia" w:ascii="黑体" w:eastAsia="黑体"/>
          <w:bCs/>
          <w:sz w:val="28"/>
          <w:szCs w:val="28"/>
        </w:rPr>
        <w:t>投 标 人：</w:t>
      </w:r>
    </w:p>
    <w:p w14:paraId="5FAC6802">
      <w:pPr>
        <w:ind w:firstLine="2240" w:firstLineChars="800"/>
        <w:rPr>
          <w:rFonts w:hint="eastAsia" w:ascii="黑体" w:eastAsia="黑体"/>
          <w:bCs/>
          <w:sz w:val="32"/>
        </w:rPr>
      </w:pPr>
      <w:r>
        <w:rPr>
          <w:rFonts w:hint="eastAsia" w:ascii="黑体" w:eastAsia="黑体"/>
          <w:bCs/>
          <w:sz w:val="28"/>
          <w:szCs w:val="28"/>
        </w:rPr>
        <w:t>日    期：     年   月   日</w:t>
      </w:r>
    </w:p>
    <w:p w14:paraId="4F275636">
      <w:pPr>
        <w:rPr>
          <w:rFonts w:hint="eastAsia" w:ascii="黑体" w:eastAsia="黑体"/>
          <w:bCs/>
        </w:rPr>
      </w:pPr>
    </w:p>
    <w:p w14:paraId="51AEEC07">
      <w:pPr>
        <w:rPr>
          <w:rFonts w:hint="eastAsia" w:ascii="黑体" w:eastAsia="黑体"/>
          <w:bCs/>
        </w:rPr>
      </w:pPr>
    </w:p>
    <w:p w14:paraId="237644DF">
      <w:pPr>
        <w:rPr>
          <w:rFonts w:hint="eastAsia" w:ascii="黑体" w:eastAsia="黑体"/>
          <w:bCs/>
        </w:rPr>
      </w:pPr>
    </w:p>
    <w:p w14:paraId="6AB3D6BC">
      <w:pPr>
        <w:pStyle w:val="3"/>
        <w:rPr>
          <w:rFonts w:hint="eastAsia"/>
        </w:rPr>
      </w:pPr>
      <w:bookmarkStart w:id="126" w:name="_Toc9790"/>
      <w:bookmarkStart w:id="127" w:name="_Toc24716"/>
      <w:r>
        <w:rPr>
          <w:rFonts w:hint="eastAsia"/>
        </w:rPr>
        <w:t>投标函</w:t>
      </w:r>
      <w:bookmarkEnd w:id="126"/>
      <w:bookmarkEnd w:id="127"/>
    </w:p>
    <w:p w14:paraId="06B8FD73">
      <w:pPr>
        <w:spacing w:line="360" w:lineRule="auto"/>
        <w:jc w:val="center"/>
        <w:rPr>
          <w:rFonts w:hint="eastAsia" w:ascii="黑体" w:eastAsia="黑体"/>
          <w:bCs/>
          <w:sz w:val="28"/>
          <w:szCs w:val="28"/>
        </w:rPr>
      </w:pPr>
    </w:p>
    <w:p w14:paraId="0D28DFE6">
      <w:pPr>
        <w:spacing w:line="360" w:lineRule="auto"/>
        <w:jc w:val="center"/>
        <w:rPr>
          <w:rFonts w:hint="eastAsia"/>
          <w:bCs/>
        </w:rPr>
      </w:pPr>
      <w:r>
        <w:rPr>
          <w:rFonts w:hint="eastAsia" w:ascii="黑体" w:eastAsia="黑体"/>
          <w:bCs/>
          <w:sz w:val="28"/>
          <w:szCs w:val="28"/>
        </w:rPr>
        <w:t>投标函</w:t>
      </w:r>
    </w:p>
    <w:p w14:paraId="2F20774D">
      <w:pPr>
        <w:spacing w:line="360" w:lineRule="auto"/>
        <w:rPr>
          <w:rFonts w:hint="eastAsia"/>
        </w:rPr>
      </w:pPr>
      <w:bookmarkStart w:id="128" w:name="_Hlk88220123"/>
      <w:r>
        <w:rPr>
          <w:rFonts w:hint="eastAsia"/>
          <w:u w:val="single"/>
        </w:rPr>
        <w:t xml:space="preserve"> </w:t>
      </w:r>
      <w:bookmarkStart w:id="129" w:name="_Hlk88427017"/>
      <w:r>
        <w:rPr>
          <w:rFonts w:hint="eastAsia"/>
          <w:u w:val="single"/>
        </w:rPr>
        <w:t xml:space="preserve">兰州兰石集团有限公司（动力公司） </w:t>
      </w:r>
      <w:r>
        <w:rPr>
          <w:rFonts w:hint="eastAsia"/>
          <w:lang w:val="zh-CN"/>
        </w:rPr>
        <w:t>：</w:t>
      </w:r>
      <w:bookmarkEnd w:id="129"/>
    </w:p>
    <w:p w14:paraId="79BBCCEC">
      <w:pPr>
        <w:spacing w:line="360" w:lineRule="auto"/>
        <w:ind w:firstLine="480" w:firstLineChars="200"/>
        <w:rPr>
          <w:rFonts w:hint="eastAsia"/>
          <w:lang w:val="zh-CN"/>
        </w:rPr>
      </w:pPr>
      <w:r>
        <w:rPr>
          <w:rFonts w:hint="eastAsia"/>
          <w:lang w:val="zh-CN"/>
        </w:rPr>
        <w:t xml:space="preserve"> </w:t>
      </w:r>
    </w:p>
    <w:p w14:paraId="334EBB5D">
      <w:pPr>
        <w:spacing w:line="360" w:lineRule="auto"/>
        <w:ind w:firstLine="480" w:firstLineChars="200"/>
        <w:rPr>
          <w:rFonts w:hint="eastAsia"/>
        </w:rPr>
      </w:pPr>
      <w:bookmarkStart w:id="130" w:name="_Hlk88427036"/>
      <w:r>
        <w:rPr>
          <w:rFonts w:hint="eastAsia"/>
        </w:rPr>
        <w:t>1</w:t>
      </w:r>
      <w:r>
        <w:rPr>
          <w:rFonts w:hint="eastAsia"/>
          <w:lang w:val="en-US" w:eastAsia="zh-CN"/>
        </w:rPr>
        <w:t>.</w:t>
      </w:r>
      <w:r>
        <w:rPr>
          <w:rFonts w:hint="eastAsia"/>
        </w:rPr>
        <w:t>根据你方</w:t>
      </w:r>
      <w:r>
        <w:rPr>
          <w:rFonts w:hint="eastAsia"/>
          <w:u w:val="single"/>
        </w:rPr>
        <w:t xml:space="preserve"> </w:t>
      </w:r>
      <w:r>
        <w:rPr>
          <w:rFonts w:hint="eastAsia" w:ascii="宋体" w:hAnsi="宋体" w:eastAsia="宋体" w:cs="宋体"/>
          <w:color w:val="auto"/>
          <w:kern w:val="0"/>
          <w:sz w:val="24"/>
          <w:szCs w:val="28"/>
          <w:highlight w:val="none"/>
          <w:u w:val="single"/>
          <w:lang w:val="en-US" w:eastAsia="zh-CN" w:bidi="zh-CN"/>
        </w:rPr>
        <w:t>兰州兰石集团有限公司混合气站采购项目</w:t>
      </w:r>
      <w:r>
        <w:rPr>
          <w:rFonts w:hint="eastAsia"/>
          <w:u w:val="single"/>
        </w:rPr>
        <w:t xml:space="preserve"> </w:t>
      </w:r>
      <w:r>
        <w:rPr>
          <w:rFonts w:hint="eastAsia"/>
          <w:lang w:eastAsia="zh-CN"/>
        </w:rPr>
        <w:t>谈判</w:t>
      </w:r>
      <w:r>
        <w:rPr>
          <w:rFonts w:hint="eastAsia"/>
        </w:rPr>
        <w:t>文件，遵循《中华人民共和国招标投标法》等有关规定，经研究上述</w:t>
      </w:r>
      <w:r>
        <w:rPr>
          <w:rFonts w:hint="eastAsia"/>
          <w:bCs/>
          <w:lang w:eastAsia="zh-CN"/>
        </w:rPr>
        <w:t>谈判</w:t>
      </w:r>
      <w:r>
        <w:rPr>
          <w:rFonts w:hint="eastAsia"/>
        </w:rPr>
        <w:t>文件及其有关文件后，我方愿以投标报价人民币（大写）</w:t>
      </w:r>
      <w:r>
        <w:rPr>
          <w:rFonts w:hint="eastAsia"/>
          <w:u w:val="single"/>
        </w:rPr>
        <w:t xml:space="preserve">      </w:t>
      </w:r>
      <w:r>
        <w:rPr>
          <w:rFonts w:hint="eastAsia"/>
        </w:rPr>
        <w:t>元优质承担上述项目服务工作。</w:t>
      </w:r>
    </w:p>
    <w:p w14:paraId="1195584C">
      <w:pPr>
        <w:pStyle w:val="6"/>
        <w:overflowPunct w:val="0"/>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如果我们的投标书被接受，我们将严格履行</w:t>
      </w:r>
      <w:r>
        <w:rPr>
          <w:rFonts w:hint="eastAsia" w:ascii="宋体" w:hAnsi="宋体" w:cs="宋体"/>
          <w:sz w:val="24"/>
          <w:szCs w:val="24"/>
          <w:lang w:eastAsia="zh-CN"/>
        </w:rPr>
        <w:t>谈判</w:t>
      </w:r>
      <w:r>
        <w:rPr>
          <w:rFonts w:hint="eastAsia" w:ascii="宋体" w:hAnsi="宋体" w:cs="宋体"/>
          <w:sz w:val="24"/>
          <w:szCs w:val="24"/>
        </w:rPr>
        <w:t>文件中规定的每一项要求，严格履行合同的责任和义务，保证按期履行合同。</w:t>
      </w:r>
    </w:p>
    <w:p w14:paraId="6D07A78C">
      <w:pPr>
        <w:spacing w:line="360" w:lineRule="auto"/>
        <w:ind w:firstLine="480" w:firstLineChars="200"/>
        <w:rPr>
          <w:rFonts w:hint="eastAsia"/>
        </w:rPr>
      </w:pPr>
      <w:r>
        <w:rPr>
          <w:rFonts w:hint="eastAsia"/>
        </w:rPr>
        <w:t>3</w:t>
      </w:r>
      <w:r>
        <w:rPr>
          <w:rFonts w:hint="eastAsia"/>
          <w:lang w:val="en-US" w:eastAsia="zh-CN"/>
        </w:rPr>
        <w:t>.</w:t>
      </w:r>
      <w:r>
        <w:rPr>
          <w:rFonts w:hint="eastAsia"/>
        </w:rPr>
        <w:t>我们已详细审查全部</w:t>
      </w:r>
      <w:r>
        <w:rPr>
          <w:rFonts w:hint="eastAsia" w:ascii="宋体" w:hAnsi="宋体" w:cs="宋体"/>
          <w:sz w:val="24"/>
          <w:szCs w:val="24"/>
          <w:lang w:eastAsia="zh-CN"/>
        </w:rPr>
        <w:t>谈判</w:t>
      </w:r>
      <w:r>
        <w:rPr>
          <w:rFonts w:hint="eastAsia"/>
        </w:rPr>
        <w:t>文件，包括补充通知(如果有的话)。</w:t>
      </w:r>
      <w:r>
        <w:rPr>
          <w:rFonts w:hint="eastAsia" w:ascii="宋体" w:hAnsi="宋体" w:cs="宋体"/>
          <w:sz w:val="24"/>
          <w:szCs w:val="24"/>
          <w:lang w:eastAsia="zh-CN"/>
        </w:rPr>
        <w:t>谈判</w:t>
      </w:r>
      <w:r>
        <w:rPr>
          <w:rFonts w:hint="eastAsia"/>
        </w:rPr>
        <w:t>文件及补充通知等相关招标要求无排他性、倾向性条款，我们完全理解并同意放弃对这方面有不明及误解的权力。</w:t>
      </w:r>
    </w:p>
    <w:p w14:paraId="3C2B0AD8">
      <w:pPr>
        <w:spacing w:line="360" w:lineRule="auto"/>
        <w:ind w:firstLine="480" w:firstLineChars="200"/>
        <w:rPr>
          <w:rFonts w:hint="eastAsia"/>
        </w:rPr>
      </w:pPr>
      <w:r>
        <w:rPr>
          <w:rFonts w:hint="eastAsia"/>
        </w:rPr>
        <w:t>4</w:t>
      </w:r>
      <w:r>
        <w:rPr>
          <w:rFonts w:hint="eastAsia"/>
          <w:lang w:val="en-US" w:eastAsia="zh-CN"/>
        </w:rPr>
        <w:t>.</w:t>
      </w:r>
      <w:r>
        <w:rPr>
          <w:rFonts w:hint="eastAsia"/>
        </w:rPr>
        <w:t>我公司承诺在本项目开标后，我们不会再对</w:t>
      </w:r>
      <w:r>
        <w:rPr>
          <w:rFonts w:hint="eastAsia" w:ascii="宋体" w:hAnsi="宋体" w:cs="宋体"/>
          <w:sz w:val="24"/>
          <w:szCs w:val="24"/>
          <w:lang w:eastAsia="zh-CN"/>
        </w:rPr>
        <w:t>谈判</w:t>
      </w:r>
      <w:r>
        <w:rPr>
          <w:rFonts w:hint="eastAsia"/>
        </w:rPr>
        <w:t>文件及补充通知向招标人进行恶意质疑或投诉。</w:t>
      </w:r>
    </w:p>
    <w:p w14:paraId="5095F2D9">
      <w:pPr>
        <w:pStyle w:val="208"/>
        <w:spacing w:line="360" w:lineRule="auto"/>
        <w:ind w:firstLine="480" w:firstLineChars="200"/>
        <w:rPr>
          <w:rFonts w:hAnsi="宋体" w:eastAsia="宋体" w:cs="宋体"/>
          <w:sz w:val="24"/>
          <w:szCs w:val="24"/>
        </w:rPr>
      </w:pPr>
      <w:r>
        <w:rPr>
          <w:rFonts w:hint="default" w:hAnsi="宋体" w:eastAsia="宋体" w:cs="宋体"/>
          <w:sz w:val="24"/>
          <w:szCs w:val="24"/>
        </w:rPr>
        <w:t>5</w:t>
      </w:r>
      <w:r>
        <w:rPr>
          <w:rFonts w:hint="eastAsia" w:hAnsi="宋体" w:eastAsia="宋体" w:cs="宋体"/>
          <w:sz w:val="24"/>
          <w:szCs w:val="24"/>
          <w:lang w:val="en-US" w:eastAsia="zh-CN"/>
        </w:rPr>
        <w:t>.</w:t>
      </w:r>
      <w:r>
        <w:rPr>
          <w:rFonts w:hAnsi="宋体" w:eastAsia="宋体" w:cs="宋体"/>
          <w:sz w:val="24"/>
          <w:szCs w:val="24"/>
        </w:rPr>
        <w:t>我们愿意提供招标人在</w:t>
      </w:r>
      <w:r>
        <w:rPr>
          <w:rFonts w:hint="eastAsia" w:ascii="宋体" w:hAnsi="宋体" w:cs="宋体"/>
          <w:sz w:val="24"/>
          <w:szCs w:val="24"/>
          <w:lang w:eastAsia="zh-CN"/>
        </w:rPr>
        <w:t>谈判</w:t>
      </w:r>
      <w:r>
        <w:rPr>
          <w:rFonts w:hAnsi="宋体" w:eastAsia="宋体" w:cs="宋体"/>
          <w:sz w:val="24"/>
          <w:szCs w:val="24"/>
        </w:rPr>
        <w:t>文件中要求的所有资料。也同意向贵方提供贵方可能另外要求的与其投标有关的任何证据或资料。并保证所提供的资料全部是真实的、有效的，若有虚假，我们愿承担一切责任。</w:t>
      </w:r>
    </w:p>
    <w:p w14:paraId="6BBDD96C">
      <w:pPr>
        <w:pStyle w:val="6"/>
        <w:overflowPunct w:val="0"/>
        <w:spacing w:line="360" w:lineRule="auto"/>
        <w:ind w:firstLine="480" w:firstLineChars="200"/>
        <w:rPr>
          <w:rFonts w:hint="eastAsia" w:ascii="宋体" w:hAnsi="宋体" w:cs="宋体"/>
          <w:sz w:val="24"/>
          <w:szCs w:val="24"/>
        </w:rPr>
      </w:pPr>
      <w:r>
        <w:rPr>
          <w:rFonts w:ascii="宋体" w:hAnsi="宋体" w:cs="宋体"/>
          <w:sz w:val="24"/>
          <w:szCs w:val="24"/>
        </w:rPr>
        <w:t>6</w:t>
      </w:r>
      <w:r>
        <w:rPr>
          <w:rFonts w:hint="eastAsia" w:ascii="宋体" w:hAnsi="宋体" w:cs="宋体"/>
          <w:sz w:val="24"/>
          <w:szCs w:val="24"/>
          <w:lang w:val="en-US" w:eastAsia="zh-CN"/>
        </w:rPr>
        <w:t>.</w:t>
      </w:r>
      <w:r>
        <w:rPr>
          <w:rFonts w:hint="eastAsia" w:ascii="宋体" w:hAnsi="宋体" w:cs="宋体"/>
          <w:sz w:val="24"/>
          <w:szCs w:val="24"/>
        </w:rPr>
        <w:t>我们认为你们有权决定中标者，还认为你们有权接受或拒绝所有的投标者。</w:t>
      </w:r>
    </w:p>
    <w:p w14:paraId="0648E253">
      <w:pPr>
        <w:pStyle w:val="208"/>
        <w:spacing w:line="360" w:lineRule="auto"/>
        <w:ind w:firstLine="480" w:firstLineChars="200"/>
        <w:rPr>
          <w:rFonts w:hAnsi="宋体" w:eastAsia="宋体" w:cs="宋体"/>
          <w:sz w:val="24"/>
          <w:szCs w:val="24"/>
        </w:rPr>
      </w:pPr>
      <w:r>
        <w:rPr>
          <w:rFonts w:hint="default" w:hAnsi="宋体" w:eastAsia="宋体" w:cs="宋体"/>
          <w:sz w:val="24"/>
          <w:szCs w:val="24"/>
        </w:rPr>
        <w:t>7</w:t>
      </w:r>
      <w:r>
        <w:rPr>
          <w:rFonts w:hint="eastAsia" w:hAnsi="宋体" w:eastAsia="宋体" w:cs="宋体"/>
          <w:sz w:val="24"/>
          <w:szCs w:val="24"/>
          <w:lang w:val="en-US" w:eastAsia="zh-CN"/>
        </w:rPr>
        <w:t>.</w:t>
      </w:r>
      <w:r>
        <w:rPr>
          <w:rFonts w:hAnsi="宋体" w:eastAsia="宋体" w:cs="宋体"/>
          <w:sz w:val="24"/>
          <w:szCs w:val="24"/>
        </w:rPr>
        <w:t>我们承诺该项投标在开标后的全过程中保持有效，不作任何更改和变动。我们同意中标后若不履行投标文件的内容要求和各项承诺及义务的即被视为违约，其中标资格将被取消。</w:t>
      </w:r>
    </w:p>
    <w:p w14:paraId="1935E7F2">
      <w:pPr>
        <w:pStyle w:val="208"/>
        <w:spacing w:line="360" w:lineRule="auto"/>
        <w:ind w:firstLine="480" w:firstLineChars="200"/>
        <w:rPr>
          <w:rFonts w:hAnsi="宋体" w:eastAsia="宋体" w:cs="宋体"/>
          <w:sz w:val="24"/>
          <w:szCs w:val="24"/>
        </w:rPr>
      </w:pPr>
      <w:r>
        <w:rPr>
          <w:rFonts w:hint="default" w:hAnsi="宋体" w:eastAsia="宋体" w:cs="宋体"/>
          <w:sz w:val="24"/>
          <w:szCs w:val="24"/>
        </w:rPr>
        <w:t>8</w:t>
      </w:r>
      <w:r>
        <w:rPr>
          <w:rFonts w:hint="eastAsia" w:hAnsi="宋体" w:eastAsia="宋体" w:cs="宋体"/>
          <w:sz w:val="24"/>
          <w:szCs w:val="24"/>
          <w:lang w:val="en-US" w:eastAsia="zh-CN"/>
        </w:rPr>
        <w:t>.</w:t>
      </w:r>
      <w:r>
        <w:rPr>
          <w:rFonts w:hAnsi="宋体" w:eastAsia="宋体" w:cs="宋体"/>
          <w:sz w:val="24"/>
          <w:szCs w:val="24"/>
        </w:rPr>
        <w:t>我们同意中标方若无法按约定条款履行义务等行为，招标人有权取消其中标资格。</w:t>
      </w:r>
    </w:p>
    <w:p w14:paraId="0C28DA20">
      <w:pPr>
        <w:pStyle w:val="208"/>
        <w:spacing w:line="360" w:lineRule="auto"/>
        <w:ind w:firstLine="480" w:firstLineChars="200"/>
        <w:rPr>
          <w:rFonts w:hAnsi="宋体" w:eastAsia="宋体" w:cs="宋体"/>
          <w:sz w:val="24"/>
          <w:szCs w:val="24"/>
        </w:rPr>
      </w:pPr>
      <w:r>
        <w:rPr>
          <w:rFonts w:hint="default" w:hAnsi="宋体" w:eastAsia="宋体" w:cs="宋体"/>
          <w:sz w:val="24"/>
          <w:szCs w:val="24"/>
        </w:rPr>
        <w:t>9</w:t>
      </w:r>
      <w:r>
        <w:rPr>
          <w:rFonts w:hint="eastAsia" w:hAnsi="宋体" w:eastAsia="宋体" w:cs="宋体"/>
          <w:sz w:val="24"/>
          <w:szCs w:val="24"/>
          <w:lang w:val="en-US" w:eastAsia="zh-CN"/>
        </w:rPr>
        <w:t>.</w:t>
      </w:r>
      <w:r>
        <w:rPr>
          <w:rFonts w:hAnsi="宋体" w:eastAsia="宋体" w:cs="宋体"/>
          <w:sz w:val="24"/>
          <w:szCs w:val="24"/>
        </w:rPr>
        <w:t>我们愿意按</w:t>
      </w:r>
      <w:r>
        <w:rPr>
          <w:rFonts w:hint="eastAsia" w:hAnsi="宋体" w:eastAsia="宋体" w:cs="宋体"/>
          <w:sz w:val="24"/>
          <w:szCs w:val="24"/>
          <w:lang w:eastAsia="zh-CN"/>
        </w:rPr>
        <w:t>谈判</w:t>
      </w:r>
      <w:r>
        <w:rPr>
          <w:rFonts w:hAnsi="宋体" w:eastAsia="宋体" w:cs="宋体"/>
          <w:sz w:val="24"/>
          <w:szCs w:val="24"/>
        </w:rPr>
        <w:t>文件的规定交纳投标保证金。</w:t>
      </w:r>
    </w:p>
    <w:p w14:paraId="5A605D14">
      <w:pPr>
        <w:pStyle w:val="208"/>
        <w:spacing w:line="360" w:lineRule="auto"/>
        <w:ind w:firstLine="480" w:firstLineChars="200"/>
        <w:rPr>
          <w:rFonts w:hAnsi="宋体" w:eastAsia="宋体" w:cs="宋体"/>
          <w:sz w:val="24"/>
          <w:szCs w:val="24"/>
        </w:rPr>
      </w:pPr>
      <w:r>
        <w:rPr>
          <w:rFonts w:hAnsi="宋体" w:eastAsia="宋体" w:cs="宋体"/>
          <w:sz w:val="24"/>
          <w:szCs w:val="24"/>
        </w:rPr>
        <w:t>1</w:t>
      </w:r>
      <w:r>
        <w:rPr>
          <w:rFonts w:hint="default" w:hAnsi="宋体" w:eastAsia="宋体" w:cs="宋体"/>
          <w:sz w:val="24"/>
          <w:szCs w:val="24"/>
        </w:rPr>
        <w:t>0</w:t>
      </w:r>
      <w:r>
        <w:rPr>
          <w:rFonts w:hint="eastAsia" w:hAnsi="宋体" w:eastAsia="宋体" w:cs="宋体"/>
          <w:sz w:val="24"/>
          <w:szCs w:val="24"/>
          <w:lang w:val="en-US" w:eastAsia="zh-CN"/>
        </w:rPr>
        <w:t>.</w:t>
      </w:r>
      <w:r>
        <w:rPr>
          <w:rFonts w:hAnsi="宋体" w:eastAsia="宋体" w:cs="宋体"/>
          <w:sz w:val="24"/>
          <w:szCs w:val="24"/>
        </w:rPr>
        <w:t>与本投标有关的通讯地址：</w:t>
      </w:r>
    </w:p>
    <w:bookmarkEnd w:id="130"/>
    <w:p w14:paraId="6B690406">
      <w:pPr>
        <w:pStyle w:val="208"/>
        <w:spacing w:line="360" w:lineRule="auto"/>
        <w:ind w:firstLine="480" w:firstLineChars="200"/>
        <w:rPr>
          <w:rFonts w:hAnsi="宋体" w:eastAsia="宋体" w:cs="宋体"/>
          <w:sz w:val="24"/>
          <w:szCs w:val="24"/>
          <w:u w:val="single"/>
        </w:rPr>
      </w:pPr>
      <w:r>
        <w:rPr>
          <w:rFonts w:hAnsi="宋体" w:eastAsia="宋体" w:cs="宋体"/>
          <w:sz w:val="24"/>
          <w:szCs w:val="24"/>
        </w:rPr>
        <w:t xml:space="preserve">单    位： </w:t>
      </w:r>
      <w:r>
        <w:rPr>
          <w:rFonts w:hAnsi="宋体" w:eastAsia="宋体" w:cs="宋体"/>
          <w:sz w:val="24"/>
          <w:szCs w:val="24"/>
          <w:u w:val="single"/>
        </w:rPr>
        <w:t xml:space="preserve">                                </w:t>
      </w:r>
      <w:r>
        <w:rPr>
          <w:rFonts w:hAnsi="宋体" w:eastAsia="宋体" w:cs="宋体"/>
          <w:sz w:val="24"/>
          <w:szCs w:val="24"/>
        </w:rPr>
        <w:t>联 系 人：</w:t>
      </w:r>
      <w:r>
        <w:rPr>
          <w:rFonts w:hAnsi="宋体" w:eastAsia="宋体" w:cs="宋体"/>
          <w:sz w:val="24"/>
          <w:szCs w:val="24"/>
          <w:u w:val="single"/>
        </w:rPr>
        <w:t xml:space="preserve">                   </w:t>
      </w:r>
    </w:p>
    <w:p w14:paraId="0C0C255C">
      <w:pPr>
        <w:pStyle w:val="208"/>
        <w:spacing w:line="360" w:lineRule="auto"/>
        <w:ind w:firstLine="480" w:firstLineChars="200"/>
        <w:rPr>
          <w:rFonts w:hAnsi="宋体" w:eastAsia="宋体" w:cs="宋体"/>
          <w:sz w:val="24"/>
          <w:szCs w:val="24"/>
          <w:u w:val="single"/>
        </w:rPr>
      </w:pPr>
      <w:r>
        <w:rPr>
          <w:rFonts w:hAnsi="宋体" w:eastAsia="宋体" w:cs="宋体"/>
          <w:sz w:val="24"/>
          <w:szCs w:val="24"/>
        </w:rPr>
        <w:t>地    址：</w:t>
      </w:r>
      <w:r>
        <w:rPr>
          <w:rFonts w:hAnsi="宋体" w:eastAsia="宋体" w:cs="宋体"/>
          <w:sz w:val="24"/>
          <w:szCs w:val="24"/>
          <w:u w:val="single"/>
        </w:rPr>
        <w:t xml:space="preserve">                                </w:t>
      </w:r>
      <w:r>
        <w:rPr>
          <w:rFonts w:hAnsi="宋体" w:eastAsia="宋体" w:cs="宋体"/>
          <w:sz w:val="24"/>
          <w:szCs w:val="24"/>
        </w:rPr>
        <w:t xml:space="preserve"> 邮政编码：</w:t>
      </w:r>
      <w:r>
        <w:rPr>
          <w:rFonts w:hAnsi="宋体" w:eastAsia="宋体" w:cs="宋体"/>
          <w:sz w:val="24"/>
          <w:szCs w:val="24"/>
          <w:u w:val="single"/>
        </w:rPr>
        <w:t xml:space="preserve">                </w:t>
      </w:r>
    </w:p>
    <w:p w14:paraId="0E61EB07">
      <w:pPr>
        <w:pStyle w:val="208"/>
        <w:spacing w:line="360" w:lineRule="auto"/>
        <w:ind w:firstLine="480" w:firstLineChars="200"/>
        <w:rPr>
          <w:rFonts w:hAnsi="宋体" w:eastAsia="宋体" w:cs="宋体"/>
          <w:sz w:val="24"/>
          <w:szCs w:val="24"/>
          <w:u w:val="single"/>
        </w:rPr>
      </w:pPr>
      <w:r>
        <w:rPr>
          <w:rFonts w:hAnsi="宋体" w:eastAsia="宋体" w:cs="宋体"/>
          <w:sz w:val="24"/>
          <w:szCs w:val="24"/>
        </w:rPr>
        <w:t>联系电话：</w:t>
      </w:r>
      <w:r>
        <w:rPr>
          <w:rFonts w:hAnsi="宋体" w:eastAsia="宋体" w:cs="宋体"/>
          <w:sz w:val="24"/>
          <w:szCs w:val="24"/>
          <w:u w:val="single"/>
        </w:rPr>
        <w:t xml:space="preserve">                                </w:t>
      </w:r>
      <w:r>
        <w:rPr>
          <w:rFonts w:hAnsi="宋体" w:eastAsia="宋体" w:cs="宋体"/>
          <w:sz w:val="24"/>
          <w:szCs w:val="24"/>
        </w:rPr>
        <w:t xml:space="preserve"> 传    真：</w:t>
      </w:r>
      <w:r>
        <w:rPr>
          <w:rFonts w:hAnsi="宋体" w:eastAsia="宋体" w:cs="宋体"/>
          <w:sz w:val="24"/>
          <w:szCs w:val="24"/>
          <w:u w:val="single"/>
        </w:rPr>
        <w:t xml:space="preserve">                    </w:t>
      </w:r>
    </w:p>
    <w:p w14:paraId="4E0BF898">
      <w:pPr>
        <w:pStyle w:val="208"/>
        <w:spacing w:line="360" w:lineRule="auto"/>
        <w:rPr>
          <w:rFonts w:hAnsi="宋体" w:eastAsia="宋体" w:cs="宋体"/>
          <w:sz w:val="24"/>
          <w:szCs w:val="24"/>
        </w:rPr>
      </w:pPr>
      <w:r>
        <w:rPr>
          <w:rFonts w:hAnsi="宋体" w:eastAsia="宋体" w:cs="宋体"/>
          <w:sz w:val="24"/>
          <w:szCs w:val="24"/>
        </w:rPr>
        <w:t xml:space="preserve">     投标方：（单位盖章）</w:t>
      </w:r>
    </w:p>
    <w:p w14:paraId="3CA93459">
      <w:pPr>
        <w:pStyle w:val="208"/>
        <w:spacing w:line="360" w:lineRule="auto"/>
        <w:rPr>
          <w:rFonts w:hAnsi="宋体" w:eastAsia="宋体" w:cs="宋体"/>
          <w:sz w:val="24"/>
          <w:szCs w:val="24"/>
        </w:rPr>
      </w:pPr>
      <w:r>
        <w:rPr>
          <w:rFonts w:hAnsi="宋体" w:eastAsia="宋体" w:cs="宋体"/>
          <w:sz w:val="24"/>
          <w:szCs w:val="24"/>
        </w:rPr>
        <w:t xml:space="preserve">    </w:t>
      </w:r>
      <w:bookmarkStart w:id="131" w:name="_Hlk88427212"/>
      <w:r>
        <w:rPr>
          <w:rFonts w:hAnsi="宋体" w:eastAsia="宋体" w:cs="宋体"/>
          <w:sz w:val="24"/>
          <w:szCs w:val="24"/>
        </w:rPr>
        <w:t xml:space="preserve"> 法定代表人或其委托代理人：（签字或盖章）</w:t>
      </w:r>
      <w:bookmarkEnd w:id="131"/>
      <w:r>
        <w:rPr>
          <w:rFonts w:hAnsi="宋体" w:eastAsia="宋体" w:cs="宋体"/>
          <w:sz w:val="24"/>
          <w:szCs w:val="24"/>
        </w:rPr>
        <w:t xml:space="preserve">             </w:t>
      </w:r>
    </w:p>
    <w:p w14:paraId="6B823B3B">
      <w:pPr>
        <w:pStyle w:val="208"/>
        <w:spacing w:line="360" w:lineRule="auto"/>
        <w:rPr>
          <w:rFonts w:hAnsi="宋体" w:eastAsia="宋体" w:cs="宋体"/>
          <w:sz w:val="24"/>
          <w:szCs w:val="24"/>
        </w:rPr>
      </w:pPr>
      <w:r>
        <w:rPr>
          <w:rFonts w:hAnsi="宋体" w:eastAsia="宋体" w:cs="宋体"/>
          <w:sz w:val="24"/>
          <w:szCs w:val="24"/>
        </w:rPr>
        <w:t xml:space="preserve">     </w:t>
      </w:r>
      <w:bookmarkStart w:id="132" w:name="_Toc12652"/>
      <w:bookmarkStart w:id="133" w:name="_Toc9195"/>
      <w:r>
        <w:rPr>
          <w:rFonts w:hAnsi="宋体" w:eastAsia="宋体" w:cs="宋体"/>
          <w:sz w:val="24"/>
          <w:szCs w:val="24"/>
        </w:rPr>
        <w:t>年     月     日</w:t>
      </w:r>
      <w:bookmarkEnd w:id="132"/>
      <w:bookmarkEnd w:id="133"/>
    </w:p>
    <w:bookmarkEnd w:id="128"/>
    <w:p w14:paraId="51AA038D">
      <w:pPr>
        <w:rPr>
          <w:rFonts w:hint="eastAsia" w:ascii="黑体" w:eastAsia="黑体"/>
          <w:bCs/>
        </w:rPr>
      </w:pPr>
      <w:r>
        <w:rPr>
          <w:rFonts w:ascii="黑体" w:eastAsia="黑体"/>
          <w:bCs/>
        </w:rPr>
        <w:br w:type="page"/>
      </w:r>
    </w:p>
    <w:p w14:paraId="756C87D3">
      <w:pPr>
        <w:pStyle w:val="3"/>
        <w:rPr>
          <w:rFonts w:hint="eastAsia"/>
        </w:rPr>
      </w:pPr>
      <w:bookmarkStart w:id="134" w:name="_Toc29162"/>
      <w:bookmarkStart w:id="135" w:name="_Toc18087"/>
      <w:r>
        <w:rPr>
          <w:rFonts w:hint="eastAsia"/>
        </w:rPr>
        <w:t>关于资格的声明函</w:t>
      </w:r>
      <w:bookmarkEnd w:id="134"/>
      <w:bookmarkEnd w:id="135"/>
    </w:p>
    <w:p w14:paraId="474F9348">
      <w:pPr>
        <w:spacing w:line="360" w:lineRule="auto"/>
        <w:rPr>
          <w:rFonts w:hint="eastAsia" w:ascii="黑体" w:eastAsia="黑体"/>
          <w:bCs/>
          <w:sz w:val="36"/>
        </w:rPr>
      </w:pPr>
    </w:p>
    <w:p w14:paraId="0CC3BAB0">
      <w:pPr>
        <w:spacing w:line="360" w:lineRule="auto"/>
        <w:jc w:val="center"/>
        <w:rPr>
          <w:rFonts w:hint="eastAsia" w:ascii="黑体" w:eastAsia="黑体"/>
          <w:bCs/>
          <w:sz w:val="28"/>
          <w:szCs w:val="28"/>
        </w:rPr>
      </w:pPr>
      <w:bookmarkStart w:id="136" w:name="_Toc21190"/>
      <w:bookmarkStart w:id="137" w:name="_Toc17743"/>
      <w:r>
        <w:rPr>
          <w:rFonts w:hint="eastAsia" w:ascii="黑体" w:eastAsia="黑体"/>
          <w:bCs/>
          <w:sz w:val="28"/>
          <w:szCs w:val="28"/>
        </w:rPr>
        <w:t>关于资格的声明函</w:t>
      </w:r>
      <w:bookmarkEnd w:id="136"/>
      <w:bookmarkEnd w:id="137"/>
    </w:p>
    <w:p w14:paraId="1B04BEE3">
      <w:pPr>
        <w:jc w:val="center"/>
        <w:rPr>
          <w:rFonts w:hint="eastAsia" w:ascii="黑体" w:eastAsia="黑体"/>
          <w:bCs/>
          <w:sz w:val="32"/>
        </w:rPr>
      </w:pPr>
    </w:p>
    <w:p w14:paraId="43A4453B">
      <w:pPr>
        <w:spacing w:line="480" w:lineRule="auto"/>
        <w:rPr>
          <w:rFonts w:hint="eastAsia"/>
          <w:bCs/>
        </w:rPr>
      </w:pPr>
      <w:r>
        <w:rPr>
          <w:rFonts w:hint="eastAsia"/>
          <w:bCs/>
          <w:u w:val="single"/>
        </w:rPr>
        <w:t xml:space="preserve">                                  </w:t>
      </w:r>
      <w:r>
        <w:rPr>
          <w:rFonts w:hint="eastAsia"/>
          <w:bCs/>
        </w:rPr>
        <w:t>：（招标人名称）</w:t>
      </w:r>
    </w:p>
    <w:p w14:paraId="036E64B0">
      <w:pPr>
        <w:spacing w:line="480" w:lineRule="auto"/>
        <w:ind w:firstLine="480" w:firstLineChars="200"/>
        <w:rPr>
          <w:rFonts w:hint="eastAsia"/>
          <w:bCs/>
        </w:rPr>
      </w:pPr>
      <w:bookmarkStart w:id="138" w:name="_Hlk88427266"/>
      <w:r>
        <w:rPr>
          <w:rFonts w:hint="eastAsia"/>
          <w:bCs/>
        </w:rPr>
        <w:t>本公司愿就项目编号为</w:t>
      </w:r>
      <w:r>
        <w:rPr>
          <w:rFonts w:hint="eastAsia"/>
          <w:bCs/>
          <w:u w:val="single"/>
        </w:rPr>
        <w:t xml:space="preserve">              </w:t>
      </w:r>
      <w:r>
        <w:rPr>
          <w:rFonts w:hint="eastAsia"/>
          <w:bCs/>
        </w:rPr>
        <w:t>的招标活动进行投标。本公司所提交的投标文件中所有关于投标资格的文件、证明和陈述均是真实的、准确的。若与真实情况不符，本公司愿意承担由此而产生的一切后果。</w:t>
      </w:r>
      <w:bookmarkEnd w:id="138"/>
    </w:p>
    <w:p w14:paraId="635D216E">
      <w:pPr>
        <w:spacing w:line="480" w:lineRule="auto"/>
        <w:ind w:firstLine="480" w:firstLineChars="200"/>
        <w:rPr>
          <w:rFonts w:hint="eastAsia"/>
          <w:bCs/>
        </w:rPr>
      </w:pPr>
    </w:p>
    <w:p w14:paraId="4FDF0830">
      <w:pPr>
        <w:spacing w:line="480" w:lineRule="auto"/>
        <w:ind w:firstLine="480" w:firstLineChars="200"/>
        <w:rPr>
          <w:rFonts w:hint="eastAsia"/>
          <w:bCs/>
        </w:rPr>
      </w:pPr>
    </w:p>
    <w:p w14:paraId="77B7F79D">
      <w:pPr>
        <w:spacing w:line="480" w:lineRule="auto"/>
        <w:ind w:firstLine="480" w:firstLineChars="200"/>
        <w:rPr>
          <w:rFonts w:hint="eastAsia"/>
          <w:bCs/>
        </w:rPr>
      </w:pPr>
    </w:p>
    <w:p w14:paraId="5A5103D6">
      <w:pPr>
        <w:spacing w:line="480" w:lineRule="auto"/>
        <w:ind w:firstLine="480" w:firstLineChars="200"/>
        <w:rPr>
          <w:rFonts w:hint="eastAsia"/>
          <w:bCs/>
        </w:rPr>
      </w:pPr>
    </w:p>
    <w:p w14:paraId="15951912">
      <w:pPr>
        <w:spacing w:line="480" w:lineRule="auto"/>
        <w:ind w:firstLine="480" w:firstLineChars="200"/>
        <w:jc w:val="center"/>
        <w:rPr>
          <w:rFonts w:hint="eastAsia"/>
          <w:bCs/>
        </w:rPr>
      </w:pPr>
      <w:r>
        <w:rPr>
          <w:rFonts w:hint="eastAsia"/>
          <w:bCs/>
        </w:rPr>
        <w:t xml:space="preserve">                         </w:t>
      </w:r>
      <w:bookmarkStart w:id="139" w:name="_Hlk88427317"/>
      <w:r>
        <w:rPr>
          <w:rFonts w:hint="eastAsia"/>
          <w:bCs/>
        </w:rPr>
        <w:t xml:space="preserve"> </w:t>
      </w:r>
      <w:bookmarkStart w:id="140" w:name="_Hlk88223562"/>
      <w:r>
        <w:rPr>
          <w:rFonts w:hint="eastAsia"/>
          <w:bCs/>
        </w:rPr>
        <w:t>法定代表人或其委托代理人：</w:t>
      </w:r>
      <w:r>
        <w:t>（签字或盖章）</w:t>
      </w:r>
      <w:bookmarkEnd w:id="139"/>
      <w:r>
        <w:t xml:space="preserve"> </w:t>
      </w:r>
      <w:bookmarkEnd w:id="140"/>
    </w:p>
    <w:p w14:paraId="035F0D6F">
      <w:pPr>
        <w:spacing w:line="480" w:lineRule="auto"/>
        <w:ind w:firstLine="480" w:firstLineChars="200"/>
        <w:jc w:val="center"/>
        <w:rPr>
          <w:rFonts w:hint="eastAsia"/>
          <w:bCs/>
        </w:rPr>
      </w:pPr>
      <w:r>
        <w:rPr>
          <w:rFonts w:hint="eastAsia"/>
          <w:bCs/>
        </w:rPr>
        <w:t xml:space="preserve">                   投标人：（公章）</w:t>
      </w:r>
    </w:p>
    <w:p w14:paraId="69447A5E">
      <w:pPr>
        <w:spacing w:line="480" w:lineRule="auto"/>
        <w:ind w:firstLine="480" w:firstLineChars="200"/>
        <w:jc w:val="center"/>
        <w:rPr>
          <w:rFonts w:hint="eastAsia"/>
          <w:bCs/>
        </w:rPr>
      </w:pPr>
      <w:r>
        <w:rPr>
          <w:rFonts w:hint="eastAsia"/>
          <w:bCs/>
        </w:rPr>
        <w:t xml:space="preserve">                             日    期：   </w:t>
      </w:r>
      <w:r>
        <w:rPr>
          <w:rFonts w:hint="eastAsia"/>
          <w:bCs/>
          <w:lang w:val="en-US" w:eastAsia="zh-CN"/>
        </w:rPr>
        <w:t xml:space="preserve">  </w:t>
      </w:r>
      <w:r>
        <w:rPr>
          <w:rFonts w:hint="eastAsia"/>
          <w:bCs/>
        </w:rPr>
        <w:t xml:space="preserve"> 年 </w:t>
      </w:r>
      <w:r>
        <w:rPr>
          <w:rFonts w:hint="eastAsia"/>
          <w:bCs/>
          <w:lang w:val="en-US" w:eastAsia="zh-CN"/>
        </w:rPr>
        <w:t xml:space="preserve">   </w:t>
      </w:r>
      <w:r>
        <w:rPr>
          <w:rFonts w:hint="eastAsia"/>
          <w:bCs/>
        </w:rPr>
        <w:t xml:space="preserve"> 月 </w:t>
      </w:r>
      <w:r>
        <w:rPr>
          <w:rFonts w:hint="eastAsia"/>
          <w:bCs/>
          <w:lang w:val="en-US" w:eastAsia="zh-CN"/>
        </w:rPr>
        <w:t xml:space="preserve">     </w:t>
      </w:r>
      <w:r>
        <w:rPr>
          <w:rFonts w:hint="eastAsia"/>
          <w:bCs/>
        </w:rPr>
        <w:t>日</w:t>
      </w:r>
    </w:p>
    <w:p w14:paraId="5CBF7724">
      <w:pPr>
        <w:jc w:val="center"/>
        <w:rPr>
          <w:rFonts w:hint="eastAsia" w:ascii="黑体" w:eastAsia="黑体"/>
          <w:bCs/>
          <w:sz w:val="32"/>
        </w:rPr>
      </w:pPr>
    </w:p>
    <w:p w14:paraId="1F27B0B5">
      <w:pPr>
        <w:jc w:val="center"/>
        <w:rPr>
          <w:rFonts w:hint="eastAsia" w:ascii="黑体" w:eastAsia="黑体"/>
          <w:bCs/>
          <w:sz w:val="32"/>
        </w:rPr>
      </w:pPr>
    </w:p>
    <w:p w14:paraId="1F917306">
      <w:pPr>
        <w:jc w:val="center"/>
        <w:rPr>
          <w:rFonts w:hint="eastAsia" w:ascii="黑体" w:eastAsia="黑体"/>
          <w:bCs/>
          <w:sz w:val="32"/>
        </w:rPr>
      </w:pPr>
    </w:p>
    <w:p w14:paraId="0643347A">
      <w:pPr>
        <w:jc w:val="center"/>
        <w:rPr>
          <w:rFonts w:hint="eastAsia" w:ascii="黑体" w:eastAsia="黑体"/>
          <w:bCs/>
          <w:sz w:val="32"/>
        </w:rPr>
      </w:pPr>
    </w:p>
    <w:p w14:paraId="2B0C22C3">
      <w:pPr>
        <w:rPr>
          <w:rFonts w:hint="eastAsia" w:ascii="黑体" w:eastAsia="黑体"/>
          <w:bCs/>
          <w:sz w:val="32"/>
        </w:rPr>
      </w:pPr>
    </w:p>
    <w:p w14:paraId="0D970DE2">
      <w:pPr>
        <w:pStyle w:val="52"/>
        <w:rPr>
          <w:rFonts w:ascii="黑体" w:eastAsia="黑体"/>
          <w:bCs/>
          <w:sz w:val="32"/>
        </w:rPr>
      </w:pPr>
    </w:p>
    <w:p w14:paraId="6794C4FA">
      <w:pPr>
        <w:pStyle w:val="52"/>
        <w:rPr>
          <w:rFonts w:ascii="黑体" w:eastAsia="黑体"/>
          <w:bCs/>
          <w:sz w:val="32"/>
        </w:rPr>
      </w:pPr>
    </w:p>
    <w:p w14:paraId="69E730F9">
      <w:pPr>
        <w:rPr>
          <w:rFonts w:hint="eastAsia" w:ascii="黑体" w:eastAsia="黑体"/>
          <w:bCs/>
          <w:sz w:val="32"/>
        </w:rPr>
      </w:pPr>
      <w:r>
        <w:rPr>
          <w:rFonts w:ascii="黑体" w:eastAsia="黑体"/>
          <w:bCs/>
          <w:sz w:val="32"/>
        </w:rPr>
        <w:br w:type="page"/>
      </w:r>
    </w:p>
    <w:p w14:paraId="734F4B8E">
      <w:pPr>
        <w:pStyle w:val="3"/>
        <w:rPr>
          <w:rFonts w:hint="eastAsia"/>
        </w:rPr>
      </w:pPr>
      <w:bookmarkStart w:id="141" w:name="_Toc13057"/>
      <w:bookmarkStart w:id="142" w:name="_Toc14648"/>
      <w:r>
        <w:rPr>
          <w:rFonts w:hint="eastAsia"/>
        </w:rPr>
        <w:t>法定代表人身份证明书</w:t>
      </w:r>
      <w:bookmarkEnd w:id="141"/>
      <w:bookmarkEnd w:id="142"/>
    </w:p>
    <w:p w14:paraId="59EB03FD">
      <w:pPr>
        <w:rPr>
          <w:rFonts w:hint="eastAsia" w:ascii="黑体" w:eastAsia="黑体"/>
          <w:bCs/>
        </w:rPr>
      </w:pPr>
    </w:p>
    <w:p w14:paraId="20ED806B">
      <w:pPr>
        <w:rPr>
          <w:rFonts w:hint="eastAsia" w:ascii="黑体" w:eastAsia="黑体"/>
          <w:bCs/>
        </w:rPr>
      </w:pPr>
    </w:p>
    <w:p w14:paraId="61ED75FE">
      <w:pPr>
        <w:rPr>
          <w:rFonts w:hint="eastAsia" w:ascii="黑体" w:eastAsia="黑体"/>
          <w:bCs/>
        </w:rPr>
      </w:pPr>
    </w:p>
    <w:p w14:paraId="394D2AC2">
      <w:pPr>
        <w:rPr>
          <w:rFonts w:hint="eastAsia" w:ascii="黑体" w:eastAsia="黑体"/>
          <w:bCs/>
        </w:rPr>
      </w:pPr>
    </w:p>
    <w:p w14:paraId="6751BF93">
      <w:pPr>
        <w:snapToGrid w:val="0"/>
        <w:jc w:val="center"/>
        <w:rPr>
          <w:rFonts w:hint="eastAsia" w:ascii="新宋体" w:hAnsi="新宋体" w:eastAsia="新宋体"/>
          <w:b/>
          <w:sz w:val="36"/>
        </w:rPr>
      </w:pPr>
      <w:bookmarkStart w:id="143" w:name="_Hlk88476550"/>
      <w:r>
        <w:rPr>
          <w:rFonts w:hint="eastAsia" w:ascii="新宋体" w:hAnsi="新宋体" w:eastAsia="新宋体"/>
          <w:b/>
          <w:sz w:val="36"/>
        </w:rPr>
        <w:t>法定代表人</w:t>
      </w:r>
      <w:r>
        <w:rPr>
          <w:rFonts w:ascii="新宋体" w:hAnsi="新宋体" w:eastAsia="新宋体"/>
          <w:b/>
          <w:sz w:val="36"/>
        </w:rPr>
        <w:t>身份证明书</w:t>
      </w:r>
    </w:p>
    <w:p w14:paraId="32CDEA49">
      <w:pPr>
        <w:snapToGrid w:val="0"/>
        <w:rPr>
          <w:rFonts w:hint="eastAsia" w:ascii="新宋体" w:hAnsi="新宋体" w:eastAsia="新宋体"/>
          <w:b/>
          <w:sz w:val="36"/>
        </w:rPr>
      </w:pPr>
    </w:p>
    <w:p w14:paraId="0BAA27CA">
      <w:pPr>
        <w:snapToGrid w:val="0"/>
        <w:jc w:val="center"/>
        <w:rPr>
          <w:rFonts w:hint="eastAsia" w:ascii="新宋体" w:hAnsi="新宋体" w:eastAsia="新宋体"/>
          <w:b/>
          <w:sz w:val="36"/>
        </w:rPr>
      </w:pPr>
    </w:p>
    <w:p w14:paraId="06D1A390">
      <w:pPr>
        <w:snapToGrid w:val="0"/>
        <w:jc w:val="center"/>
        <w:rPr>
          <w:rFonts w:hint="eastAsia" w:ascii="新宋体" w:hAnsi="新宋体" w:eastAsia="新宋体"/>
          <w:b/>
          <w:sz w:val="36"/>
        </w:rPr>
      </w:pPr>
    </w:p>
    <w:p w14:paraId="7ED0416E">
      <w:pPr>
        <w:snapToGrid w:val="0"/>
        <w:jc w:val="center"/>
        <w:rPr>
          <w:rFonts w:hint="eastAsia"/>
          <w:b/>
          <w:sz w:val="28"/>
        </w:rPr>
      </w:pPr>
    </w:p>
    <w:p w14:paraId="7FC51FF6">
      <w:pPr>
        <w:snapToGrid w:val="0"/>
        <w:ind w:firstLine="280" w:firstLineChars="100"/>
        <w:rPr>
          <w:rFonts w:hint="eastAsia"/>
          <w:sz w:val="28"/>
          <w:u w:val="single"/>
        </w:rPr>
      </w:pPr>
      <w:bookmarkStart w:id="144" w:name="_Hlk88223729"/>
      <w:r>
        <w:rPr>
          <w:sz w:val="28"/>
        </w:rPr>
        <w:t>单位名称：</w:t>
      </w:r>
      <w:bookmarkEnd w:id="144"/>
      <w:r>
        <w:rPr>
          <w:sz w:val="28"/>
          <w:u w:val="single"/>
        </w:rPr>
        <w:t xml:space="preserve">                                              </w:t>
      </w:r>
    </w:p>
    <w:p w14:paraId="744AE442">
      <w:pPr>
        <w:snapToGrid w:val="0"/>
        <w:ind w:firstLine="280" w:firstLineChars="100"/>
        <w:rPr>
          <w:rFonts w:hint="eastAsia"/>
          <w:sz w:val="28"/>
          <w:u w:val="single"/>
        </w:rPr>
      </w:pPr>
      <w:r>
        <w:rPr>
          <w:sz w:val="28"/>
        </w:rPr>
        <w:t>单位性质：</w:t>
      </w:r>
      <w:r>
        <w:rPr>
          <w:sz w:val="28"/>
          <w:u w:val="single"/>
        </w:rPr>
        <w:t xml:space="preserve">                                     </w:t>
      </w:r>
    </w:p>
    <w:p w14:paraId="648C5244">
      <w:pPr>
        <w:snapToGrid w:val="0"/>
        <w:ind w:firstLine="280" w:firstLineChars="100"/>
        <w:rPr>
          <w:rFonts w:hint="eastAsia"/>
          <w:sz w:val="28"/>
          <w:u w:val="single"/>
        </w:rPr>
      </w:pPr>
      <w:r>
        <w:rPr>
          <w:sz w:val="28"/>
        </w:rPr>
        <w:t>地    址：</w:t>
      </w:r>
      <w:r>
        <w:rPr>
          <w:sz w:val="28"/>
          <w:u w:val="single"/>
        </w:rPr>
        <w:t xml:space="preserve">                                     </w:t>
      </w:r>
    </w:p>
    <w:p w14:paraId="4D25B705">
      <w:pPr>
        <w:snapToGrid w:val="0"/>
        <w:ind w:firstLine="280" w:firstLineChars="100"/>
        <w:rPr>
          <w:rFonts w:hint="eastAsia"/>
          <w:sz w:val="28"/>
        </w:rPr>
      </w:pPr>
      <w:r>
        <w:rPr>
          <w:sz w:val="28"/>
        </w:rPr>
        <w:t>成立时间：</w:t>
      </w:r>
      <w:r>
        <w:rPr>
          <w:sz w:val="28"/>
          <w:u w:val="single"/>
        </w:rPr>
        <w:t xml:space="preserve">           </w:t>
      </w:r>
      <w:r>
        <w:rPr>
          <w:sz w:val="28"/>
        </w:rPr>
        <w:t>年</w:t>
      </w:r>
      <w:r>
        <w:rPr>
          <w:sz w:val="28"/>
          <w:u w:val="single"/>
        </w:rPr>
        <w:t xml:space="preserve">          </w:t>
      </w:r>
      <w:r>
        <w:rPr>
          <w:sz w:val="28"/>
        </w:rPr>
        <w:t>月</w:t>
      </w:r>
      <w:r>
        <w:rPr>
          <w:sz w:val="28"/>
          <w:u w:val="single"/>
        </w:rPr>
        <w:t xml:space="preserve">          </w:t>
      </w:r>
      <w:r>
        <w:rPr>
          <w:sz w:val="28"/>
        </w:rPr>
        <w:t>日</w:t>
      </w:r>
    </w:p>
    <w:p w14:paraId="591B07AE">
      <w:pPr>
        <w:snapToGrid w:val="0"/>
        <w:ind w:firstLine="280" w:firstLineChars="100"/>
        <w:rPr>
          <w:rFonts w:hint="eastAsia"/>
          <w:sz w:val="28"/>
          <w:u w:val="single"/>
        </w:rPr>
      </w:pPr>
      <w:r>
        <w:rPr>
          <w:sz w:val="28"/>
        </w:rPr>
        <w:t>经营期限：</w:t>
      </w:r>
      <w:r>
        <w:rPr>
          <w:sz w:val="28"/>
          <w:u w:val="single"/>
        </w:rPr>
        <w:t xml:space="preserve">                                     </w:t>
      </w:r>
    </w:p>
    <w:p w14:paraId="5F72DE2E">
      <w:pPr>
        <w:snapToGrid w:val="0"/>
        <w:ind w:firstLine="280" w:firstLineChars="100"/>
        <w:rPr>
          <w:rFonts w:hint="eastAsia"/>
          <w:sz w:val="28"/>
          <w:u w:val="single"/>
        </w:rPr>
      </w:pPr>
      <w:r>
        <w:rPr>
          <w:sz w:val="28"/>
        </w:rPr>
        <w:t>姓     名：</w:t>
      </w:r>
      <w:r>
        <w:rPr>
          <w:sz w:val="28"/>
          <w:u w:val="single"/>
        </w:rPr>
        <w:t xml:space="preserve">      </w:t>
      </w:r>
      <w:r>
        <w:rPr>
          <w:sz w:val="28"/>
        </w:rPr>
        <w:t>性别：</w:t>
      </w:r>
      <w:r>
        <w:rPr>
          <w:sz w:val="28"/>
          <w:u w:val="single"/>
        </w:rPr>
        <w:t xml:space="preserve">     </w:t>
      </w:r>
      <w:r>
        <w:rPr>
          <w:sz w:val="28"/>
        </w:rPr>
        <w:t>年龄：</w:t>
      </w:r>
      <w:r>
        <w:rPr>
          <w:sz w:val="28"/>
          <w:u w:val="single"/>
        </w:rPr>
        <w:t xml:space="preserve">     </w:t>
      </w:r>
      <w:r>
        <w:rPr>
          <w:sz w:val="28"/>
        </w:rPr>
        <w:t>职务：</w:t>
      </w:r>
      <w:r>
        <w:rPr>
          <w:sz w:val="28"/>
          <w:u w:val="single"/>
        </w:rPr>
        <w:t xml:space="preserve">  </w:t>
      </w:r>
    </w:p>
    <w:p w14:paraId="5E1ABDC2">
      <w:pPr>
        <w:snapToGrid w:val="0"/>
        <w:ind w:firstLine="280" w:firstLineChars="100"/>
        <w:rPr>
          <w:rFonts w:hint="eastAsia"/>
          <w:sz w:val="28"/>
        </w:rPr>
      </w:pPr>
      <w:r>
        <w:rPr>
          <w:sz w:val="28"/>
        </w:rPr>
        <w:t>系</w:t>
      </w:r>
      <w:r>
        <w:rPr>
          <w:sz w:val="28"/>
          <w:u w:val="single"/>
        </w:rPr>
        <w:t xml:space="preserve">        （投标人单位名称）        </w:t>
      </w:r>
      <w:r>
        <w:rPr>
          <w:sz w:val="28"/>
        </w:rPr>
        <w:t>的法定代表人。</w:t>
      </w:r>
    </w:p>
    <w:p w14:paraId="1CCF3173">
      <w:pPr>
        <w:snapToGrid w:val="0"/>
        <w:ind w:firstLine="280" w:firstLineChars="100"/>
        <w:rPr>
          <w:rFonts w:hint="eastAsia"/>
          <w:sz w:val="28"/>
        </w:rPr>
      </w:pPr>
      <w:r>
        <w:rPr>
          <w:sz w:val="28"/>
        </w:rPr>
        <w:t>特此证明。</w:t>
      </w:r>
    </w:p>
    <w:p w14:paraId="4020F5AD">
      <w:pPr>
        <w:snapToGrid w:val="0"/>
        <w:ind w:firstLine="5040" w:firstLineChars="1800"/>
        <w:rPr>
          <w:rFonts w:hint="eastAsia"/>
          <w:sz w:val="28"/>
        </w:rPr>
      </w:pPr>
    </w:p>
    <w:p w14:paraId="12F69518">
      <w:pPr>
        <w:snapToGrid w:val="0"/>
        <w:rPr>
          <w:rFonts w:hint="eastAsia"/>
          <w:sz w:val="28"/>
        </w:rPr>
      </w:pPr>
      <w:bookmarkStart w:id="145" w:name="_Hlk88427539"/>
      <w:bookmarkStart w:id="146" w:name="_Hlk88223777"/>
      <w:r>
        <w:rPr>
          <w:rFonts w:hint="eastAsia"/>
          <w:sz w:val="28"/>
        </w:rPr>
        <w:t>附：法定代表人身份证复印件。</w:t>
      </w:r>
      <w:bookmarkEnd w:id="145"/>
    </w:p>
    <w:p w14:paraId="6B7BCB39">
      <w:pPr>
        <w:snapToGrid w:val="0"/>
        <w:ind w:firstLine="5040" w:firstLineChars="1800"/>
        <w:rPr>
          <w:rFonts w:hint="eastAsia"/>
          <w:sz w:val="28"/>
        </w:rPr>
      </w:pPr>
    </w:p>
    <w:p w14:paraId="337D9DFD">
      <w:pPr>
        <w:snapToGrid w:val="0"/>
        <w:ind w:firstLine="5040" w:firstLineChars="1800"/>
        <w:rPr>
          <w:rFonts w:hint="eastAsia"/>
          <w:sz w:val="28"/>
        </w:rPr>
      </w:pPr>
    </w:p>
    <w:p w14:paraId="7E770BDF">
      <w:pPr>
        <w:snapToGrid w:val="0"/>
        <w:rPr>
          <w:rFonts w:hint="eastAsia"/>
          <w:sz w:val="28"/>
        </w:rPr>
      </w:pPr>
      <w:bookmarkStart w:id="147" w:name="_Hlk88427669"/>
      <w:r>
        <w:rPr>
          <w:rFonts w:hint="eastAsia"/>
          <w:sz w:val="28"/>
        </w:rPr>
        <w:t>注：本身份证明需由投标人加盖单位公章。</w:t>
      </w:r>
      <w:bookmarkEnd w:id="147"/>
    </w:p>
    <w:p w14:paraId="664FC29A">
      <w:pPr>
        <w:snapToGrid w:val="0"/>
        <w:ind w:firstLine="5040" w:firstLineChars="1800"/>
        <w:rPr>
          <w:rFonts w:hint="eastAsia"/>
          <w:sz w:val="28"/>
        </w:rPr>
      </w:pPr>
    </w:p>
    <w:bookmarkEnd w:id="146"/>
    <w:p w14:paraId="36506274">
      <w:pPr>
        <w:snapToGrid w:val="0"/>
        <w:ind w:firstLine="5040" w:firstLineChars="1800"/>
        <w:rPr>
          <w:rFonts w:hint="eastAsia"/>
          <w:sz w:val="28"/>
        </w:rPr>
      </w:pPr>
    </w:p>
    <w:p w14:paraId="7FB06EDC">
      <w:pPr>
        <w:snapToGrid w:val="0"/>
        <w:ind w:firstLine="5040" w:firstLineChars="1800"/>
        <w:rPr>
          <w:rFonts w:hint="eastAsia"/>
          <w:sz w:val="28"/>
        </w:rPr>
      </w:pPr>
    </w:p>
    <w:p w14:paraId="63CBCCD4">
      <w:pPr>
        <w:snapToGrid w:val="0"/>
        <w:rPr>
          <w:rFonts w:hint="eastAsia"/>
          <w:sz w:val="28"/>
        </w:rPr>
      </w:pPr>
      <w:r>
        <w:rPr>
          <w:rFonts w:hint="eastAsia"/>
          <w:sz w:val="28"/>
        </w:rPr>
        <w:t xml:space="preserve">                              </w:t>
      </w:r>
      <w:r>
        <w:rPr>
          <w:sz w:val="28"/>
        </w:rPr>
        <w:t>投标人：</w:t>
      </w:r>
      <w:r>
        <w:rPr>
          <w:sz w:val="28"/>
          <w:u w:val="single"/>
        </w:rPr>
        <w:t xml:space="preserve">                 </w:t>
      </w:r>
      <w:r>
        <w:rPr>
          <w:sz w:val="28"/>
        </w:rPr>
        <w:t>（盖公章）</w:t>
      </w:r>
    </w:p>
    <w:p w14:paraId="7FDF1C72">
      <w:pPr>
        <w:snapToGrid w:val="0"/>
        <w:rPr>
          <w:rFonts w:hint="eastAsia"/>
          <w:sz w:val="28"/>
        </w:rPr>
      </w:pPr>
      <w:r>
        <w:rPr>
          <w:rFonts w:hint="eastAsia"/>
          <w:sz w:val="28"/>
        </w:rPr>
        <w:t xml:space="preserve">                             </w:t>
      </w:r>
    </w:p>
    <w:p w14:paraId="0FAE790D">
      <w:pPr>
        <w:snapToGrid w:val="0"/>
        <w:ind w:firstLine="4200" w:firstLineChars="1500"/>
        <w:rPr>
          <w:rFonts w:hint="eastAsia"/>
          <w:sz w:val="28"/>
        </w:rPr>
      </w:pPr>
      <w:r>
        <w:rPr>
          <w:rFonts w:hint="eastAsia"/>
          <w:sz w:val="28"/>
        </w:rPr>
        <w:t xml:space="preserve"> </w:t>
      </w:r>
      <w:r>
        <w:rPr>
          <w:sz w:val="28"/>
        </w:rPr>
        <w:t>日  期：</w:t>
      </w:r>
      <w:r>
        <w:rPr>
          <w:sz w:val="28"/>
          <w:u w:val="single"/>
        </w:rPr>
        <w:t xml:space="preserve">         </w:t>
      </w:r>
      <w:r>
        <w:rPr>
          <w:sz w:val="28"/>
        </w:rPr>
        <w:t>年</w:t>
      </w:r>
      <w:r>
        <w:rPr>
          <w:sz w:val="28"/>
          <w:u w:val="single"/>
        </w:rPr>
        <w:t xml:space="preserve">     </w:t>
      </w:r>
      <w:r>
        <w:rPr>
          <w:sz w:val="28"/>
        </w:rPr>
        <w:t>月</w:t>
      </w:r>
      <w:r>
        <w:rPr>
          <w:sz w:val="28"/>
          <w:u w:val="single"/>
        </w:rPr>
        <w:t xml:space="preserve">     </w:t>
      </w:r>
      <w:r>
        <w:rPr>
          <w:sz w:val="28"/>
        </w:rPr>
        <w:t>日</w:t>
      </w:r>
    </w:p>
    <w:p w14:paraId="4A9F10C0">
      <w:pPr>
        <w:snapToGrid w:val="0"/>
        <w:ind w:firstLine="5040" w:firstLineChars="1800"/>
        <w:rPr>
          <w:rFonts w:hint="eastAsia"/>
          <w:sz w:val="28"/>
        </w:rPr>
      </w:pPr>
    </w:p>
    <w:p w14:paraId="46A3D1A6">
      <w:pPr>
        <w:snapToGrid w:val="0"/>
        <w:ind w:firstLine="5040" w:firstLineChars="1800"/>
        <w:rPr>
          <w:rFonts w:hint="eastAsia"/>
          <w:sz w:val="28"/>
        </w:rPr>
      </w:pPr>
    </w:p>
    <w:p w14:paraId="5FC03FE5">
      <w:pPr>
        <w:snapToGrid w:val="0"/>
        <w:ind w:firstLine="5040" w:firstLineChars="1800"/>
        <w:rPr>
          <w:rFonts w:hint="eastAsia"/>
          <w:sz w:val="28"/>
        </w:rPr>
      </w:pPr>
    </w:p>
    <w:p w14:paraId="494AF7B1">
      <w:pPr>
        <w:snapToGrid w:val="0"/>
        <w:ind w:firstLine="5040" w:firstLineChars="1800"/>
        <w:rPr>
          <w:rFonts w:hint="eastAsia"/>
          <w:sz w:val="28"/>
        </w:rPr>
      </w:pPr>
    </w:p>
    <w:p w14:paraId="08F468E5">
      <w:pPr>
        <w:snapToGrid w:val="0"/>
        <w:ind w:firstLine="5040" w:firstLineChars="1800"/>
        <w:rPr>
          <w:rFonts w:hint="eastAsia"/>
          <w:sz w:val="28"/>
        </w:rPr>
      </w:pPr>
    </w:p>
    <w:bookmarkEnd w:id="143"/>
    <w:p w14:paraId="0DB4D510">
      <w:pPr>
        <w:snapToGrid w:val="0"/>
        <w:ind w:firstLine="5040" w:firstLineChars="1800"/>
        <w:rPr>
          <w:rFonts w:hint="eastAsia"/>
          <w:sz w:val="28"/>
        </w:rPr>
      </w:pPr>
    </w:p>
    <w:p w14:paraId="1EF2D953">
      <w:pPr>
        <w:snapToGrid w:val="0"/>
        <w:ind w:firstLine="5040" w:firstLineChars="1800"/>
        <w:rPr>
          <w:rFonts w:hint="eastAsia"/>
          <w:sz w:val="28"/>
        </w:rPr>
      </w:pPr>
    </w:p>
    <w:p w14:paraId="0699268D">
      <w:pPr>
        <w:snapToGrid w:val="0"/>
        <w:ind w:firstLine="5040" w:firstLineChars="1800"/>
        <w:rPr>
          <w:rFonts w:hint="eastAsia"/>
          <w:sz w:val="28"/>
        </w:rPr>
      </w:pPr>
    </w:p>
    <w:p w14:paraId="41876980">
      <w:pPr>
        <w:snapToGrid w:val="0"/>
        <w:ind w:firstLine="5040" w:firstLineChars="1800"/>
        <w:rPr>
          <w:rFonts w:hint="eastAsia"/>
          <w:sz w:val="28"/>
        </w:rPr>
      </w:pPr>
    </w:p>
    <w:p w14:paraId="5161F953">
      <w:pPr>
        <w:snapToGrid w:val="0"/>
        <w:ind w:firstLine="5040" w:firstLineChars="1800"/>
        <w:rPr>
          <w:rFonts w:hint="eastAsia"/>
          <w:sz w:val="28"/>
        </w:rPr>
      </w:pPr>
    </w:p>
    <w:p w14:paraId="56660588">
      <w:pPr>
        <w:rPr>
          <w:rFonts w:hint="eastAsia" w:ascii="黑体" w:eastAsia="黑体"/>
          <w:bCs/>
        </w:rPr>
      </w:pPr>
      <w:r>
        <w:rPr>
          <w:rFonts w:ascii="黑体" w:eastAsia="黑体"/>
          <w:bCs/>
        </w:rPr>
        <w:br w:type="page"/>
      </w:r>
    </w:p>
    <w:p w14:paraId="68CCF90F">
      <w:pPr>
        <w:pStyle w:val="3"/>
        <w:rPr>
          <w:rFonts w:hint="eastAsia"/>
        </w:rPr>
      </w:pPr>
      <w:bookmarkStart w:id="148" w:name="_Toc15108"/>
      <w:bookmarkStart w:id="149" w:name="_Toc7446"/>
      <w:r>
        <w:rPr>
          <w:rFonts w:hint="eastAsia"/>
        </w:rPr>
        <w:t>法定代表人授权委托书</w:t>
      </w:r>
      <w:bookmarkEnd w:id="148"/>
      <w:bookmarkEnd w:id="149"/>
    </w:p>
    <w:p w14:paraId="1EB0AA03">
      <w:pPr>
        <w:rPr>
          <w:rFonts w:hint="eastAsia" w:ascii="黑体" w:eastAsia="黑体"/>
          <w:bCs/>
          <w:sz w:val="28"/>
          <w:szCs w:val="28"/>
        </w:rPr>
      </w:pPr>
    </w:p>
    <w:p w14:paraId="090D3C9B">
      <w:pPr>
        <w:autoSpaceDE w:val="0"/>
        <w:autoSpaceDN w:val="0"/>
        <w:adjustRightInd w:val="0"/>
        <w:spacing w:line="360" w:lineRule="auto"/>
        <w:ind w:firstLine="425"/>
        <w:jc w:val="center"/>
        <w:rPr>
          <w:rFonts w:hint="eastAsia"/>
          <w:b/>
          <w:sz w:val="32"/>
          <w:szCs w:val="32"/>
          <w:lang w:val="zh-CN"/>
        </w:rPr>
      </w:pPr>
    </w:p>
    <w:p w14:paraId="0C3DF08E">
      <w:pPr>
        <w:autoSpaceDE w:val="0"/>
        <w:autoSpaceDN w:val="0"/>
        <w:adjustRightInd w:val="0"/>
        <w:spacing w:line="360" w:lineRule="auto"/>
        <w:ind w:firstLine="425"/>
        <w:jc w:val="center"/>
        <w:rPr>
          <w:rFonts w:hint="eastAsia"/>
          <w:b/>
          <w:sz w:val="32"/>
          <w:szCs w:val="32"/>
        </w:rPr>
      </w:pPr>
      <w:r>
        <w:rPr>
          <w:rFonts w:hint="eastAsia"/>
          <w:b/>
          <w:sz w:val="32"/>
          <w:szCs w:val="32"/>
          <w:lang w:val="zh-CN"/>
        </w:rPr>
        <w:t>法定代表人授权委托书</w:t>
      </w:r>
    </w:p>
    <w:p w14:paraId="73294AC5">
      <w:pPr>
        <w:autoSpaceDE w:val="0"/>
        <w:autoSpaceDN w:val="0"/>
        <w:adjustRightInd w:val="0"/>
        <w:spacing w:line="360" w:lineRule="auto"/>
        <w:ind w:firstLine="425"/>
        <w:rPr>
          <w:rFonts w:hint="eastAsia"/>
          <w:lang w:val="zh-CN"/>
        </w:rPr>
      </w:pPr>
    </w:p>
    <w:p w14:paraId="0AE8C3C4">
      <w:pPr>
        <w:autoSpaceDE w:val="0"/>
        <w:autoSpaceDN w:val="0"/>
        <w:adjustRightInd w:val="0"/>
        <w:spacing w:line="360" w:lineRule="auto"/>
        <w:ind w:firstLine="420"/>
        <w:rPr>
          <w:rFonts w:hint="eastAsia"/>
        </w:rPr>
      </w:pPr>
      <w:bookmarkStart w:id="150" w:name="_Hlk88427730"/>
      <w:r>
        <w:rPr>
          <w:rFonts w:hint="eastAsia"/>
          <w:lang w:val="zh-CN"/>
        </w:rPr>
        <w:t>本授权委托书声明：我</w:t>
      </w:r>
      <w:r>
        <w:rPr>
          <w:lang w:val="zh-CN"/>
        </w:rPr>
        <w:t xml:space="preserve"> </w:t>
      </w:r>
      <w:r>
        <w:rPr>
          <w:u w:val="single"/>
          <w:lang w:val="zh-CN"/>
        </w:rPr>
        <w:t xml:space="preserve">          </w:t>
      </w:r>
      <w:r>
        <w:rPr>
          <w:rFonts w:hint="eastAsia"/>
          <w:lang w:val="zh-CN"/>
        </w:rPr>
        <w:t>（姓名）系</w:t>
      </w:r>
      <w:r>
        <w:rPr>
          <w:u w:val="single"/>
          <w:lang w:val="zh-CN"/>
        </w:rPr>
        <w:t xml:space="preserve">             </w:t>
      </w:r>
      <w:r>
        <w:rPr>
          <w:rFonts w:hint="eastAsia"/>
          <w:lang w:val="zh-CN"/>
        </w:rPr>
        <w:t>（投标人名称）的法定代表人，现授权委托</w:t>
      </w:r>
      <w:r>
        <w:rPr>
          <w:u w:val="single"/>
          <w:lang w:val="zh-CN"/>
        </w:rPr>
        <w:t xml:space="preserve">              </w:t>
      </w:r>
      <w:r>
        <w:rPr>
          <w:rFonts w:hint="eastAsia"/>
          <w:u w:val="single"/>
          <w:lang w:val="zh-CN"/>
        </w:rPr>
        <w:t>（</w:t>
      </w:r>
      <w:r>
        <w:rPr>
          <w:rFonts w:hint="eastAsia"/>
          <w:lang w:val="zh-CN"/>
        </w:rPr>
        <w:t>单位名称）的</w:t>
      </w:r>
      <w:r>
        <w:rPr>
          <w:u w:val="single"/>
          <w:lang w:val="zh-CN"/>
        </w:rPr>
        <w:t xml:space="preserve">         </w:t>
      </w:r>
      <w:r>
        <w:rPr>
          <w:rFonts w:hint="eastAsia"/>
          <w:lang w:val="zh-CN"/>
        </w:rPr>
        <w:t>（姓名）为我公司代理人，以本公司的名义参加项目编号为</w:t>
      </w:r>
      <w:r>
        <w:rPr>
          <w:u w:val="single"/>
          <w:lang w:val="zh-CN"/>
        </w:rPr>
        <w:t xml:space="preserve">   </w:t>
      </w:r>
      <w:r>
        <w:rPr>
          <w:rFonts w:hint="eastAsia"/>
          <w:u w:val="single"/>
          <w:lang w:val="zh-CN"/>
        </w:rPr>
        <w:t xml:space="preserve">         </w:t>
      </w:r>
      <w:r>
        <w:rPr>
          <w:rFonts w:hint="eastAsia"/>
          <w:lang w:val="zh-CN"/>
        </w:rPr>
        <w:t>的招标活动。</w:t>
      </w:r>
      <w:bookmarkStart w:id="151" w:name="_Hlk88224229"/>
      <w:r>
        <w:rPr>
          <w:rFonts w:hint="eastAsia"/>
          <w:lang w:val="zh-CN"/>
        </w:rPr>
        <w:t>代理人在开标、评标、合同谈判过程中所签署的一切文件和处理与这有关的一切事务，我均予以承认。</w:t>
      </w:r>
      <w:bookmarkEnd w:id="151"/>
    </w:p>
    <w:p w14:paraId="66D74A14">
      <w:pPr>
        <w:autoSpaceDE w:val="0"/>
        <w:autoSpaceDN w:val="0"/>
        <w:adjustRightInd w:val="0"/>
        <w:spacing w:line="360" w:lineRule="auto"/>
        <w:ind w:firstLine="420"/>
        <w:rPr>
          <w:rFonts w:hint="eastAsia"/>
        </w:rPr>
      </w:pPr>
      <w:bookmarkStart w:id="152" w:name="_Hlk88224239"/>
      <w:r>
        <w:rPr>
          <w:rFonts w:hint="eastAsia"/>
          <w:lang w:val="zh-CN"/>
        </w:rPr>
        <w:t>代理人在授权委托书有效期内签署的所有文件不因授权委托的撤销而失效，除非有撤销授权委托的书面通知，本授权委托书自投标开始至合同履行完毕止。</w:t>
      </w:r>
      <w:bookmarkEnd w:id="152"/>
    </w:p>
    <w:p w14:paraId="048B930C">
      <w:pPr>
        <w:autoSpaceDE w:val="0"/>
        <w:autoSpaceDN w:val="0"/>
        <w:adjustRightInd w:val="0"/>
        <w:spacing w:line="360" w:lineRule="auto"/>
        <w:ind w:firstLine="425"/>
        <w:rPr>
          <w:rFonts w:hint="eastAsia"/>
        </w:rPr>
      </w:pPr>
      <w:bookmarkStart w:id="153" w:name="_Hlk88224255"/>
      <w:r>
        <w:rPr>
          <w:rFonts w:hint="eastAsia"/>
          <w:lang w:val="zh-CN"/>
        </w:rPr>
        <w:t>委托代理人无转委托权。特此委托。</w:t>
      </w:r>
      <w:bookmarkEnd w:id="150"/>
      <w:bookmarkEnd w:id="153"/>
    </w:p>
    <w:p w14:paraId="69DA1D5A">
      <w:pPr>
        <w:autoSpaceDE w:val="0"/>
        <w:autoSpaceDN w:val="0"/>
        <w:adjustRightInd w:val="0"/>
        <w:spacing w:line="360" w:lineRule="auto"/>
        <w:ind w:firstLine="425"/>
        <w:rPr>
          <w:rFonts w:hint="eastAsia"/>
          <w:lang w:val="zh-CN"/>
        </w:rPr>
      </w:pPr>
    </w:p>
    <w:p w14:paraId="791ABA19">
      <w:pPr>
        <w:autoSpaceDE w:val="0"/>
        <w:autoSpaceDN w:val="0"/>
        <w:adjustRightInd w:val="0"/>
        <w:spacing w:line="360" w:lineRule="auto"/>
        <w:ind w:firstLine="425"/>
        <w:rPr>
          <w:rFonts w:hint="eastAsia"/>
          <w:lang w:val="zh-CN"/>
        </w:rPr>
      </w:pPr>
      <w:bookmarkStart w:id="154" w:name="_Hlk88427850"/>
      <w:r>
        <w:rPr>
          <w:rFonts w:hint="eastAsia"/>
          <w:lang w:val="zh-CN"/>
        </w:rPr>
        <w:t>附：</w:t>
      </w:r>
      <w:bookmarkStart w:id="155" w:name="_Hlk88224269"/>
      <w:r>
        <w:rPr>
          <w:rFonts w:hint="eastAsia"/>
          <w:lang w:val="zh-CN"/>
        </w:rPr>
        <w:t>法定代表人身份证复印件及委托代理人身份证复印件</w:t>
      </w:r>
      <w:bookmarkEnd w:id="154"/>
      <w:bookmarkEnd w:id="155"/>
    </w:p>
    <w:p w14:paraId="4A94DAC4">
      <w:pPr>
        <w:autoSpaceDE w:val="0"/>
        <w:autoSpaceDN w:val="0"/>
        <w:adjustRightInd w:val="0"/>
        <w:spacing w:line="360" w:lineRule="auto"/>
        <w:rPr>
          <w:rFonts w:hint="eastAsia"/>
          <w:lang w:val="zh-CN"/>
        </w:rPr>
      </w:pPr>
    </w:p>
    <w:p w14:paraId="15BBE6AE">
      <w:pPr>
        <w:autoSpaceDE w:val="0"/>
        <w:autoSpaceDN w:val="0"/>
        <w:adjustRightInd w:val="0"/>
        <w:spacing w:line="360" w:lineRule="auto"/>
        <w:ind w:firstLine="425"/>
        <w:rPr>
          <w:rFonts w:hint="eastAsia"/>
          <w:lang w:val="zh-CN"/>
        </w:rPr>
      </w:pPr>
      <w:bookmarkStart w:id="156" w:name="_Hlk88224309"/>
      <w:r>
        <w:rPr>
          <w:rFonts w:hint="eastAsia"/>
          <w:lang w:val="zh-CN"/>
        </w:rPr>
        <w:t>注：本授权委托书需由投标人加盖单位公章并由其法定代表人和委托代理人签字。</w:t>
      </w:r>
      <w:bookmarkEnd w:id="156"/>
      <w:r>
        <w:rPr>
          <w:lang w:val="zh-CN"/>
        </w:rPr>
        <w:t xml:space="preserve">    </w:t>
      </w:r>
    </w:p>
    <w:p w14:paraId="4F958E26">
      <w:pPr>
        <w:autoSpaceDE w:val="0"/>
        <w:autoSpaceDN w:val="0"/>
        <w:adjustRightInd w:val="0"/>
        <w:spacing w:line="360" w:lineRule="auto"/>
        <w:ind w:firstLine="4802" w:firstLineChars="2001"/>
        <w:rPr>
          <w:rFonts w:hint="eastAsia"/>
        </w:rPr>
      </w:pPr>
      <w:r>
        <w:rPr>
          <w:rFonts w:hint="eastAsia"/>
          <w:lang w:val="zh-CN"/>
        </w:rPr>
        <w:t>投标人：（公章）</w:t>
      </w:r>
    </w:p>
    <w:p w14:paraId="3A853EF9">
      <w:pPr>
        <w:autoSpaceDE w:val="0"/>
        <w:autoSpaceDN w:val="0"/>
        <w:adjustRightInd w:val="0"/>
        <w:spacing w:line="360" w:lineRule="auto"/>
        <w:ind w:firstLine="5042" w:firstLineChars="2101"/>
        <w:rPr>
          <w:rFonts w:hint="eastAsia"/>
          <w:lang w:val="zh-CN"/>
        </w:rPr>
      </w:pPr>
    </w:p>
    <w:p w14:paraId="31741B17">
      <w:pPr>
        <w:autoSpaceDE w:val="0"/>
        <w:autoSpaceDN w:val="0"/>
        <w:adjustRightInd w:val="0"/>
        <w:spacing w:line="360" w:lineRule="auto"/>
        <w:ind w:firstLine="4800" w:firstLineChars="2000"/>
        <w:rPr>
          <w:rFonts w:hint="eastAsia"/>
        </w:rPr>
      </w:pPr>
      <w:r>
        <w:rPr>
          <w:rFonts w:hint="eastAsia"/>
          <w:lang w:val="zh-CN"/>
        </w:rPr>
        <w:t>法定代表人：（签字或签章）</w:t>
      </w:r>
    </w:p>
    <w:p w14:paraId="34E8EE47">
      <w:pPr>
        <w:autoSpaceDE w:val="0"/>
        <w:autoSpaceDN w:val="0"/>
        <w:adjustRightInd w:val="0"/>
        <w:spacing w:line="360" w:lineRule="auto"/>
        <w:ind w:firstLine="4802" w:firstLineChars="2001"/>
        <w:rPr>
          <w:rFonts w:hint="eastAsia"/>
          <w:lang w:val="zh-CN"/>
        </w:rPr>
      </w:pPr>
    </w:p>
    <w:p w14:paraId="280D8FFD">
      <w:pPr>
        <w:autoSpaceDE w:val="0"/>
        <w:autoSpaceDN w:val="0"/>
        <w:adjustRightInd w:val="0"/>
        <w:spacing w:line="360" w:lineRule="auto"/>
        <w:ind w:firstLine="4802" w:firstLineChars="2001"/>
        <w:rPr>
          <w:rFonts w:hint="eastAsia"/>
        </w:rPr>
      </w:pPr>
      <w:bookmarkStart w:id="157" w:name="_Hlk88224353"/>
      <w:bookmarkStart w:id="158" w:name="_Hlk88427984"/>
      <w:r>
        <w:rPr>
          <w:rFonts w:hint="eastAsia"/>
          <w:lang w:val="zh-CN"/>
        </w:rPr>
        <w:t>委托代理人：</w:t>
      </w:r>
      <w:bookmarkEnd w:id="157"/>
      <w:r>
        <w:rPr>
          <w:rFonts w:hint="eastAsia"/>
          <w:lang w:val="zh-CN"/>
        </w:rPr>
        <w:t>（签字）</w:t>
      </w:r>
      <w:bookmarkEnd w:id="158"/>
    </w:p>
    <w:p w14:paraId="60CD9BB3">
      <w:pPr>
        <w:autoSpaceDE w:val="0"/>
        <w:autoSpaceDN w:val="0"/>
        <w:adjustRightInd w:val="0"/>
        <w:spacing w:line="360" w:lineRule="auto"/>
        <w:ind w:firstLine="425"/>
        <w:jc w:val="right"/>
        <w:rPr>
          <w:rFonts w:hint="eastAsia"/>
          <w:lang w:val="zh-CN"/>
        </w:rPr>
      </w:pPr>
    </w:p>
    <w:p w14:paraId="07FBD6CD">
      <w:pPr>
        <w:autoSpaceDE w:val="0"/>
        <w:autoSpaceDN w:val="0"/>
        <w:adjustRightInd w:val="0"/>
        <w:spacing w:line="360" w:lineRule="auto"/>
        <w:ind w:firstLine="425"/>
        <w:jc w:val="right"/>
        <w:rPr>
          <w:rFonts w:hint="eastAsia"/>
          <w:lang w:val="zh-CN"/>
        </w:rPr>
      </w:pPr>
    </w:p>
    <w:p w14:paraId="0785BCA7">
      <w:pPr>
        <w:autoSpaceDE w:val="0"/>
        <w:autoSpaceDN w:val="0"/>
        <w:adjustRightInd w:val="0"/>
        <w:spacing w:line="360" w:lineRule="auto"/>
        <w:ind w:firstLine="425"/>
        <w:jc w:val="right"/>
        <w:rPr>
          <w:rFonts w:hint="eastAsia"/>
          <w:lang w:val="zh-CN"/>
        </w:rPr>
      </w:pPr>
    </w:p>
    <w:p w14:paraId="11ECD349">
      <w:pPr>
        <w:autoSpaceDE w:val="0"/>
        <w:autoSpaceDN w:val="0"/>
        <w:adjustRightInd w:val="0"/>
        <w:spacing w:line="360" w:lineRule="auto"/>
        <w:ind w:firstLine="425"/>
        <w:jc w:val="center"/>
        <w:rPr>
          <w:rFonts w:hint="eastAsia"/>
          <w:lang w:val="zh-CN"/>
        </w:rPr>
      </w:pPr>
      <w:r>
        <w:rPr>
          <w:lang w:val="zh-CN"/>
        </w:rPr>
        <w:t xml:space="preserve">                                       </w:t>
      </w:r>
      <w:r>
        <w:rPr>
          <w:rFonts w:hint="eastAsia"/>
          <w:lang w:val="zh-CN"/>
        </w:rPr>
        <w:t>日期：</w:t>
      </w:r>
      <w:r>
        <w:rPr>
          <w:lang w:val="zh-CN"/>
        </w:rPr>
        <w:t xml:space="preserve">     </w:t>
      </w:r>
      <w:r>
        <w:rPr>
          <w:rFonts w:hint="eastAsia"/>
          <w:lang w:val="zh-CN"/>
        </w:rPr>
        <w:t>年</w:t>
      </w:r>
      <w:r>
        <w:rPr>
          <w:lang w:val="zh-CN"/>
        </w:rPr>
        <w:t xml:space="preserve"> </w:t>
      </w:r>
      <w:r>
        <w:rPr>
          <w:rFonts w:hint="eastAsia"/>
          <w:lang w:val="en-US" w:eastAsia="zh-CN"/>
        </w:rPr>
        <w:t xml:space="preserve"> </w:t>
      </w:r>
      <w:r>
        <w:rPr>
          <w:lang w:val="zh-CN"/>
        </w:rPr>
        <w:t xml:space="preserve">   </w:t>
      </w:r>
      <w:r>
        <w:rPr>
          <w:rFonts w:hint="eastAsia"/>
          <w:lang w:val="zh-CN"/>
        </w:rPr>
        <w:t>月</w:t>
      </w:r>
      <w:r>
        <w:rPr>
          <w:lang w:val="zh-CN"/>
        </w:rPr>
        <w:t xml:space="preserve">     </w:t>
      </w:r>
      <w:r>
        <w:rPr>
          <w:rFonts w:hint="eastAsia"/>
          <w:lang w:val="zh-CN"/>
        </w:rPr>
        <w:t>日</w:t>
      </w:r>
    </w:p>
    <w:p w14:paraId="558FE480">
      <w:pPr>
        <w:autoSpaceDE w:val="0"/>
        <w:autoSpaceDN w:val="0"/>
        <w:adjustRightInd w:val="0"/>
        <w:spacing w:line="360" w:lineRule="auto"/>
        <w:ind w:firstLine="425"/>
        <w:jc w:val="center"/>
        <w:rPr>
          <w:rFonts w:hint="eastAsia"/>
          <w:lang w:val="zh-CN"/>
        </w:rPr>
      </w:pPr>
    </w:p>
    <w:p w14:paraId="31C8ABB6">
      <w:pPr>
        <w:autoSpaceDE w:val="0"/>
        <w:autoSpaceDN w:val="0"/>
        <w:adjustRightInd w:val="0"/>
        <w:spacing w:line="360" w:lineRule="auto"/>
        <w:ind w:firstLine="425"/>
        <w:rPr>
          <w:rFonts w:hint="eastAsia"/>
          <w:lang w:val="zh-CN"/>
        </w:rPr>
      </w:pPr>
    </w:p>
    <w:p w14:paraId="3887775F">
      <w:pPr>
        <w:tabs>
          <w:tab w:val="left" w:pos="0"/>
        </w:tabs>
        <w:ind w:left="397"/>
        <w:jc w:val="both"/>
        <w:rPr>
          <w:rFonts w:hint="eastAsia"/>
          <w:lang w:val="zh-CN"/>
        </w:rPr>
      </w:pPr>
    </w:p>
    <w:p w14:paraId="5AF82C7F">
      <w:pPr>
        <w:rPr>
          <w:rFonts w:hint="eastAsia"/>
          <w:lang w:val="zh-CN"/>
        </w:rPr>
      </w:pPr>
    </w:p>
    <w:p w14:paraId="5C0EF79C">
      <w:pPr>
        <w:rPr>
          <w:rFonts w:hAnsi="Times New Roman"/>
          <w:color w:val="000000"/>
        </w:rPr>
      </w:pPr>
      <w:r>
        <w:br w:type="page"/>
      </w:r>
    </w:p>
    <w:p w14:paraId="3FAEBE4D">
      <w:pPr>
        <w:pStyle w:val="3"/>
      </w:pPr>
      <w:bookmarkStart w:id="159" w:name="_Hlk88428200"/>
      <w:r>
        <w:rPr>
          <w:rFonts w:hint="eastAsia"/>
        </w:rPr>
        <w:t>资格证明文件</w:t>
      </w:r>
    </w:p>
    <w:p w14:paraId="736113D7">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1.营业执照</w:t>
      </w:r>
    </w:p>
    <w:p w14:paraId="5D321274">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投标人有效期内营业执照副本(复印件加盖公章）；</w:t>
      </w:r>
    </w:p>
    <w:p w14:paraId="77B15CB1">
      <w:pPr>
        <w:autoSpaceDE w:val="0"/>
        <w:autoSpaceDN w:val="0"/>
        <w:adjustRightInd w:val="0"/>
        <w:spacing w:line="360" w:lineRule="auto"/>
        <w:ind w:firstLine="420"/>
        <w:rPr>
          <w:rFonts w:hint="eastAsia" w:ascii="宋体" w:hAnsi="宋体" w:eastAsia="宋体" w:cs="宋体"/>
          <w:lang w:val="en-US" w:eastAsia="zh-CN"/>
        </w:rPr>
      </w:pPr>
      <w:r>
        <w:rPr>
          <w:rFonts w:hint="eastAsia" w:ascii="宋体" w:hAnsi="宋体" w:eastAsia="宋体" w:cs="宋体"/>
          <w:lang w:val="zh-CN"/>
        </w:rPr>
        <w:t>2.</w:t>
      </w:r>
      <w:r>
        <w:rPr>
          <w:rFonts w:hint="eastAsia" w:ascii="宋体" w:hAnsi="宋体" w:eastAsia="宋体" w:cs="宋体"/>
          <w:lang w:val="en-US" w:eastAsia="zh-CN"/>
        </w:rPr>
        <w:t>.供应商商业信誉良好，未被列入“信用中国”网站失信被执行人名单。（网页截图加盖公章）。</w:t>
      </w:r>
    </w:p>
    <w:p w14:paraId="02046611">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en-US" w:eastAsia="zh-CN"/>
        </w:rPr>
        <w:t>3.投标人须提供2024年或2025年度经会计师事务所或审计机构出具的审计报告（复印件加盖公章）或提供银行出具的资信证明（新成立的公司提供）。</w:t>
      </w:r>
    </w:p>
    <w:p w14:paraId="7135D9DE">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4</w:t>
      </w:r>
      <w:r>
        <w:rPr>
          <w:rFonts w:hint="eastAsia" w:ascii="宋体" w:hAnsi="宋体" w:eastAsia="宋体" w:cs="宋体"/>
          <w:lang w:val="en-US" w:eastAsia="zh-CN"/>
        </w:rPr>
        <w:t>.</w:t>
      </w:r>
      <w:r>
        <w:rPr>
          <w:rFonts w:hint="eastAsia" w:ascii="宋体" w:hAnsi="宋体" w:eastAsia="宋体" w:cs="宋体"/>
          <w:lang w:val="zh-CN"/>
        </w:rPr>
        <w:t>特种设备生产许可证、资质证明。</w:t>
      </w:r>
    </w:p>
    <w:p w14:paraId="218CEB15">
      <w:pPr>
        <w:rPr>
          <w:rFonts w:hint="eastAsia"/>
        </w:rPr>
      </w:pPr>
    </w:p>
    <w:p w14:paraId="498EF01B">
      <w:pPr>
        <w:rPr>
          <w:rFonts w:hint="eastAsia"/>
        </w:rPr>
      </w:pPr>
      <w:r>
        <w:br w:type="page"/>
      </w:r>
    </w:p>
    <w:p w14:paraId="5799C3B9">
      <w:pPr>
        <w:rPr>
          <w:rFonts w:hint="eastAsia"/>
        </w:rPr>
      </w:pPr>
    </w:p>
    <w:p w14:paraId="690CB0A0">
      <w:pPr>
        <w:pStyle w:val="3"/>
        <w:rPr>
          <w:rFonts w:hint="eastAsia"/>
        </w:rPr>
      </w:pPr>
      <w:r>
        <w:rPr>
          <w:rFonts w:hint="eastAsia"/>
        </w:rPr>
        <w:t>开标一览表</w:t>
      </w:r>
      <w:bookmarkEnd w:id="159"/>
    </w:p>
    <w:p w14:paraId="19C668D6">
      <w:pPr>
        <w:autoSpaceDE w:val="0"/>
        <w:autoSpaceDN w:val="0"/>
        <w:adjustRightInd w:val="0"/>
        <w:jc w:val="center"/>
        <w:rPr>
          <w:rFonts w:hint="eastAsia"/>
          <w:b/>
          <w:sz w:val="32"/>
          <w:szCs w:val="32"/>
        </w:rPr>
      </w:pPr>
      <w:bookmarkStart w:id="160" w:name="_Hlk88224411"/>
      <w:bookmarkStart w:id="161" w:name="_Hlk88428237"/>
      <w:r>
        <w:rPr>
          <w:rFonts w:hint="eastAsia"/>
          <w:b/>
          <w:sz w:val="32"/>
          <w:szCs w:val="32"/>
          <w:lang w:val="zh-CN"/>
        </w:rPr>
        <w:t>开标一览表</w:t>
      </w:r>
      <w:bookmarkEnd w:id="160"/>
    </w:p>
    <w:p w14:paraId="6B1F90B9">
      <w:pPr>
        <w:autoSpaceDE w:val="0"/>
        <w:autoSpaceDN w:val="0"/>
        <w:adjustRightInd w:val="0"/>
        <w:jc w:val="center"/>
        <w:rPr>
          <w:rFonts w:hint="eastAsia"/>
          <w:b/>
          <w:sz w:val="15"/>
          <w:szCs w:val="15"/>
        </w:rPr>
      </w:pPr>
    </w:p>
    <w:p w14:paraId="06F99741">
      <w:pPr>
        <w:autoSpaceDE w:val="0"/>
        <w:autoSpaceDN w:val="0"/>
        <w:adjustRightInd w:val="0"/>
        <w:spacing w:line="360" w:lineRule="auto"/>
        <w:ind w:firstLine="420"/>
        <w:rPr>
          <w:rFonts w:hint="eastAsia" w:ascii="宋体" w:hAnsi="宋体" w:eastAsia="宋体" w:cs="宋体"/>
          <w:lang w:val="zh-CN"/>
        </w:rPr>
      </w:pPr>
      <w:bookmarkStart w:id="162" w:name="_Hlk88224429"/>
      <w:r>
        <w:rPr>
          <w:rFonts w:hint="eastAsia" w:ascii="宋体" w:hAnsi="宋体" w:eastAsia="宋体" w:cs="宋体"/>
          <w:lang w:val="zh-CN"/>
        </w:rPr>
        <w:t xml:space="preserve">项目名称：                          </w:t>
      </w:r>
    </w:p>
    <w:p w14:paraId="2B816437">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 xml:space="preserve">项目编号：                          </w:t>
      </w:r>
    </w:p>
    <w:tbl>
      <w:tblPr>
        <w:tblStyle w:val="33"/>
        <w:tblW w:w="0" w:type="auto"/>
        <w:tblInd w:w="0" w:type="dxa"/>
        <w:tblLayout w:type="fixed"/>
        <w:tblCellMar>
          <w:top w:w="0" w:type="dxa"/>
          <w:left w:w="108" w:type="dxa"/>
          <w:bottom w:w="0" w:type="dxa"/>
          <w:right w:w="108" w:type="dxa"/>
        </w:tblCellMar>
      </w:tblPr>
      <w:tblGrid>
        <w:gridCol w:w="1058"/>
        <w:gridCol w:w="1463"/>
        <w:gridCol w:w="1237"/>
        <w:gridCol w:w="1150"/>
        <w:gridCol w:w="1150"/>
        <w:gridCol w:w="1550"/>
        <w:gridCol w:w="2075"/>
      </w:tblGrid>
      <w:tr w14:paraId="28C4F796">
        <w:tblPrEx>
          <w:tblCellMar>
            <w:top w:w="0" w:type="dxa"/>
            <w:left w:w="108" w:type="dxa"/>
            <w:bottom w:w="0" w:type="dxa"/>
            <w:right w:w="108" w:type="dxa"/>
          </w:tblCellMar>
        </w:tblPrEx>
        <w:trPr>
          <w:trHeight w:val="270" w:hRule="atLeast"/>
        </w:trPr>
        <w:tc>
          <w:tcPr>
            <w:tcW w:w="1058" w:type="dxa"/>
            <w:vMerge w:val="restart"/>
            <w:tcBorders>
              <w:top w:val="single" w:color="000000" w:sz="4" w:space="0"/>
              <w:left w:val="single" w:color="000000" w:sz="4" w:space="0"/>
              <w:bottom w:val="single" w:color="000000" w:sz="4" w:space="0"/>
              <w:right w:val="single" w:color="000000" w:sz="4" w:space="0"/>
            </w:tcBorders>
            <w:noWrap/>
            <w:vAlign w:val="center"/>
          </w:tcPr>
          <w:p w14:paraId="447B44A7">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序号</w:t>
            </w:r>
          </w:p>
        </w:tc>
        <w:tc>
          <w:tcPr>
            <w:tcW w:w="146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7F28B4">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名称</w:t>
            </w:r>
          </w:p>
        </w:tc>
        <w:tc>
          <w:tcPr>
            <w:tcW w:w="1237" w:type="dxa"/>
            <w:vMerge w:val="restart"/>
            <w:tcBorders>
              <w:top w:val="single" w:color="000000" w:sz="4" w:space="0"/>
              <w:left w:val="single" w:color="000000" w:sz="4" w:space="0"/>
              <w:bottom w:val="single" w:color="000000" w:sz="4" w:space="0"/>
              <w:right w:val="single" w:color="000000" w:sz="4" w:space="0"/>
            </w:tcBorders>
            <w:noWrap w:val="0"/>
            <w:vAlign w:val="center"/>
          </w:tcPr>
          <w:p w14:paraId="2124562F">
            <w:pPr>
              <w:autoSpaceDE w:val="0"/>
              <w:autoSpaceDN w:val="0"/>
              <w:adjustRightInd w:val="0"/>
              <w:spacing w:line="360" w:lineRule="auto"/>
              <w:jc w:val="center"/>
              <w:rPr>
                <w:rFonts w:hint="eastAsia" w:ascii="宋体" w:hAnsi="宋体" w:eastAsia="宋体" w:cs="宋体"/>
                <w:lang w:val="zh-CN"/>
              </w:rPr>
            </w:pPr>
            <w:r>
              <w:rPr>
                <w:rFonts w:hint="eastAsia" w:ascii="宋体" w:hAnsi="宋体" w:eastAsia="宋体" w:cs="宋体"/>
                <w:lang w:val="zh-CN"/>
              </w:rPr>
              <w:t>数量  （套）</w:t>
            </w:r>
          </w:p>
        </w:tc>
        <w:tc>
          <w:tcPr>
            <w:tcW w:w="3850" w:type="dxa"/>
            <w:gridSpan w:val="3"/>
            <w:tcBorders>
              <w:top w:val="single" w:color="000000" w:sz="4" w:space="0"/>
              <w:left w:val="single" w:color="000000" w:sz="4" w:space="0"/>
              <w:bottom w:val="single" w:color="000000" w:sz="4" w:space="0"/>
              <w:right w:val="single" w:color="000000" w:sz="4" w:space="0"/>
            </w:tcBorders>
            <w:noWrap/>
            <w:vAlign w:val="center"/>
          </w:tcPr>
          <w:p w14:paraId="77EC2795">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投标报价（元）</w:t>
            </w:r>
          </w:p>
        </w:tc>
        <w:tc>
          <w:tcPr>
            <w:tcW w:w="207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0F5F2B">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备注</w:t>
            </w:r>
          </w:p>
        </w:tc>
      </w:tr>
      <w:tr w14:paraId="1E5D3B09">
        <w:tblPrEx>
          <w:tblCellMar>
            <w:top w:w="0" w:type="dxa"/>
            <w:left w:w="108" w:type="dxa"/>
            <w:bottom w:w="0" w:type="dxa"/>
            <w:right w:w="108" w:type="dxa"/>
          </w:tblCellMar>
        </w:tblPrEx>
        <w:trPr>
          <w:trHeight w:val="270" w:hRule="atLeast"/>
        </w:trPr>
        <w:tc>
          <w:tcPr>
            <w:tcW w:w="1058" w:type="dxa"/>
            <w:vMerge w:val="continue"/>
            <w:tcBorders>
              <w:top w:val="single" w:color="000000" w:sz="4" w:space="0"/>
              <w:left w:val="single" w:color="000000" w:sz="4" w:space="0"/>
              <w:bottom w:val="single" w:color="000000" w:sz="4" w:space="0"/>
              <w:right w:val="single" w:color="000000" w:sz="4" w:space="0"/>
            </w:tcBorders>
            <w:noWrap/>
            <w:vAlign w:val="center"/>
          </w:tcPr>
          <w:p w14:paraId="7A65614C">
            <w:pPr>
              <w:autoSpaceDE w:val="0"/>
              <w:autoSpaceDN w:val="0"/>
              <w:adjustRightInd w:val="0"/>
              <w:spacing w:line="360" w:lineRule="auto"/>
              <w:ind w:firstLine="420"/>
              <w:rPr>
                <w:rFonts w:hint="eastAsia" w:ascii="宋体" w:hAnsi="宋体" w:eastAsia="宋体" w:cs="宋体"/>
                <w:lang w:val="zh-CN"/>
              </w:rPr>
            </w:pPr>
          </w:p>
        </w:tc>
        <w:tc>
          <w:tcPr>
            <w:tcW w:w="14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15CE2">
            <w:pPr>
              <w:autoSpaceDE w:val="0"/>
              <w:autoSpaceDN w:val="0"/>
              <w:adjustRightInd w:val="0"/>
              <w:spacing w:line="360" w:lineRule="auto"/>
              <w:ind w:firstLine="420"/>
              <w:rPr>
                <w:rFonts w:hint="eastAsia" w:ascii="宋体" w:hAnsi="宋体" w:eastAsia="宋体" w:cs="宋体"/>
                <w:lang w:val="zh-CN"/>
              </w:rPr>
            </w:pPr>
          </w:p>
        </w:tc>
        <w:tc>
          <w:tcPr>
            <w:tcW w:w="12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C8E31">
            <w:pPr>
              <w:autoSpaceDE w:val="0"/>
              <w:autoSpaceDN w:val="0"/>
              <w:adjustRightInd w:val="0"/>
              <w:spacing w:line="360" w:lineRule="auto"/>
              <w:ind w:firstLine="420"/>
              <w:rPr>
                <w:rFonts w:hint="eastAsia" w:ascii="宋体" w:hAnsi="宋体" w:eastAsia="宋体" w:cs="宋体"/>
                <w:lang w:val="zh-CN"/>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5524D631">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单价</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15D9B802">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税率</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542A9C4">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总价</w:t>
            </w:r>
          </w:p>
        </w:tc>
        <w:tc>
          <w:tcPr>
            <w:tcW w:w="20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D3CF0">
            <w:pPr>
              <w:autoSpaceDE w:val="0"/>
              <w:autoSpaceDN w:val="0"/>
              <w:adjustRightInd w:val="0"/>
              <w:spacing w:line="360" w:lineRule="auto"/>
              <w:ind w:firstLine="420"/>
              <w:rPr>
                <w:rFonts w:hint="eastAsia" w:ascii="宋体" w:hAnsi="宋体" w:eastAsia="宋体" w:cs="宋体"/>
                <w:lang w:val="zh-CN"/>
              </w:rPr>
            </w:pPr>
          </w:p>
        </w:tc>
      </w:tr>
      <w:tr w14:paraId="6191FC29">
        <w:tblPrEx>
          <w:tblCellMar>
            <w:top w:w="0" w:type="dxa"/>
            <w:left w:w="108" w:type="dxa"/>
            <w:bottom w:w="0" w:type="dxa"/>
            <w:right w:w="108" w:type="dxa"/>
          </w:tblCellMar>
        </w:tblPrEx>
        <w:trPr>
          <w:trHeight w:val="656" w:hRule="atLeast"/>
        </w:trPr>
        <w:tc>
          <w:tcPr>
            <w:tcW w:w="1058" w:type="dxa"/>
            <w:tcBorders>
              <w:top w:val="single" w:color="000000" w:sz="4" w:space="0"/>
              <w:left w:val="single" w:color="000000" w:sz="4" w:space="0"/>
              <w:bottom w:val="single" w:color="000000" w:sz="4" w:space="0"/>
              <w:right w:val="single" w:color="000000" w:sz="4" w:space="0"/>
            </w:tcBorders>
            <w:noWrap/>
            <w:vAlign w:val="center"/>
          </w:tcPr>
          <w:p w14:paraId="5755C133">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1</w:t>
            </w:r>
          </w:p>
        </w:tc>
        <w:tc>
          <w:tcPr>
            <w:tcW w:w="1463" w:type="dxa"/>
            <w:tcBorders>
              <w:top w:val="single" w:color="000000" w:sz="4" w:space="0"/>
              <w:left w:val="single" w:color="000000" w:sz="4" w:space="0"/>
              <w:bottom w:val="single" w:color="000000" w:sz="4" w:space="0"/>
              <w:right w:val="single" w:color="000000" w:sz="4" w:space="0"/>
            </w:tcBorders>
            <w:noWrap w:val="0"/>
            <w:vAlign w:val="center"/>
          </w:tcPr>
          <w:p w14:paraId="7C6EB0B1">
            <w:pPr>
              <w:autoSpaceDE w:val="0"/>
              <w:autoSpaceDN w:val="0"/>
              <w:adjustRightInd w:val="0"/>
              <w:spacing w:line="360" w:lineRule="auto"/>
              <w:ind w:firstLine="420"/>
              <w:rPr>
                <w:rFonts w:hint="eastAsia" w:ascii="宋体" w:hAnsi="宋体" w:eastAsia="宋体" w:cs="宋体"/>
                <w:lang w:val="zh-CN" w:eastAsia="zh-CN"/>
              </w:rPr>
            </w:pP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2046C2D8">
            <w:pPr>
              <w:autoSpaceDE w:val="0"/>
              <w:autoSpaceDN w:val="0"/>
              <w:adjustRightInd w:val="0"/>
              <w:spacing w:line="360" w:lineRule="auto"/>
              <w:ind w:firstLine="420"/>
              <w:rPr>
                <w:rFonts w:hint="eastAsia" w:ascii="宋体" w:hAnsi="宋体" w:eastAsia="宋体" w:cs="宋体"/>
                <w:lang w:val="zh-CN"/>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5298D804">
            <w:pPr>
              <w:autoSpaceDE w:val="0"/>
              <w:autoSpaceDN w:val="0"/>
              <w:adjustRightInd w:val="0"/>
              <w:spacing w:line="360" w:lineRule="auto"/>
              <w:ind w:firstLine="420"/>
              <w:rPr>
                <w:rFonts w:hint="eastAsia" w:ascii="宋体" w:hAnsi="宋体" w:eastAsia="宋体" w:cs="宋体"/>
                <w:lang w:val="zh-CN"/>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5D063243">
            <w:pPr>
              <w:autoSpaceDE w:val="0"/>
              <w:autoSpaceDN w:val="0"/>
              <w:adjustRightInd w:val="0"/>
              <w:spacing w:line="360" w:lineRule="auto"/>
              <w:ind w:firstLine="420"/>
              <w:rPr>
                <w:rFonts w:hint="eastAsia" w:ascii="宋体" w:hAnsi="宋体" w:eastAsia="宋体" w:cs="宋体"/>
                <w:lang w:val="zh-CN"/>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5F4A0BE">
            <w:pPr>
              <w:autoSpaceDE w:val="0"/>
              <w:autoSpaceDN w:val="0"/>
              <w:adjustRightInd w:val="0"/>
              <w:spacing w:line="360" w:lineRule="auto"/>
              <w:ind w:firstLine="420"/>
              <w:rPr>
                <w:rFonts w:hint="eastAsia" w:ascii="宋体" w:hAnsi="宋体" w:eastAsia="宋体" w:cs="宋体"/>
                <w:lang w:val="zh-CN"/>
              </w:rPr>
            </w:pPr>
          </w:p>
        </w:tc>
        <w:tc>
          <w:tcPr>
            <w:tcW w:w="2075" w:type="dxa"/>
            <w:tcBorders>
              <w:top w:val="single" w:color="000000" w:sz="4" w:space="0"/>
              <w:left w:val="single" w:color="000000" w:sz="4" w:space="0"/>
              <w:bottom w:val="single" w:color="000000" w:sz="4" w:space="0"/>
              <w:right w:val="single" w:color="000000" w:sz="4" w:space="0"/>
            </w:tcBorders>
            <w:noWrap w:val="0"/>
            <w:vAlign w:val="center"/>
          </w:tcPr>
          <w:p w14:paraId="09C53A2E">
            <w:pPr>
              <w:autoSpaceDE w:val="0"/>
              <w:autoSpaceDN w:val="0"/>
              <w:adjustRightInd w:val="0"/>
              <w:spacing w:line="360" w:lineRule="auto"/>
              <w:ind w:firstLine="420"/>
              <w:rPr>
                <w:rFonts w:hint="eastAsia" w:ascii="宋体" w:hAnsi="宋体" w:eastAsia="宋体" w:cs="宋体"/>
                <w:lang w:val="zh-CN"/>
              </w:rPr>
            </w:pPr>
          </w:p>
        </w:tc>
      </w:tr>
      <w:tr w14:paraId="26DFE1F4">
        <w:tblPrEx>
          <w:tblCellMar>
            <w:top w:w="0" w:type="dxa"/>
            <w:left w:w="108" w:type="dxa"/>
            <w:bottom w:w="0" w:type="dxa"/>
            <w:right w:w="108" w:type="dxa"/>
          </w:tblCellMar>
        </w:tblPrEx>
        <w:trPr>
          <w:trHeight w:val="1275" w:hRule="atLeast"/>
        </w:trPr>
        <w:tc>
          <w:tcPr>
            <w:tcW w:w="1058" w:type="dxa"/>
            <w:tcBorders>
              <w:top w:val="single" w:color="000000" w:sz="4" w:space="0"/>
              <w:left w:val="single" w:color="000000" w:sz="4" w:space="0"/>
              <w:bottom w:val="single" w:color="000000" w:sz="4" w:space="0"/>
              <w:right w:val="single" w:color="000000" w:sz="4" w:space="0"/>
            </w:tcBorders>
            <w:noWrap/>
            <w:vAlign w:val="center"/>
          </w:tcPr>
          <w:p w14:paraId="0B131B12">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2</w:t>
            </w:r>
          </w:p>
        </w:tc>
        <w:tc>
          <w:tcPr>
            <w:tcW w:w="1463" w:type="dxa"/>
            <w:tcBorders>
              <w:top w:val="single" w:color="000000" w:sz="4" w:space="0"/>
              <w:left w:val="single" w:color="000000" w:sz="4" w:space="0"/>
              <w:bottom w:val="single" w:color="000000" w:sz="4" w:space="0"/>
              <w:right w:val="single" w:color="000000" w:sz="4" w:space="0"/>
            </w:tcBorders>
            <w:noWrap w:val="0"/>
            <w:vAlign w:val="center"/>
          </w:tcPr>
          <w:p w14:paraId="78DEA77E">
            <w:pPr>
              <w:autoSpaceDE w:val="0"/>
              <w:autoSpaceDN w:val="0"/>
              <w:adjustRightInd w:val="0"/>
              <w:spacing w:line="360" w:lineRule="auto"/>
              <w:ind w:firstLine="420"/>
              <w:rPr>
                <w:rFonts w:hint="eastAsia" w:ascii="宋体" w:hAnsi="宋体" w:eastAsia="宋体" w:cs="宋体"/>
                <w:lang w:val="zh-CN"/>
              </w:rPr>
            </w:pP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36AF2B6D">
            <w:pPr>
              <w:autoSpaceDE w:val="0"/>
              <w:autoSpaceDN w:val="0"/>
              <w:adjustRightInd w:val="0"/>
              <w:spacing w:line="360" w:lineRule="auto"/>
              <w:ind w:firstLine="420"/>
              <w:rPr>
                <w:rFonts w:hint="eastAsia" w:ascii="宋体" w:hAnsi="宋体" w:eastAsia="宋体" w:cs="宋体"/>
                <w:lang w:val="zh-CN"/>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7F02DB96">
            <w:pPr>
              <w:autoSpaceDE w:val="0"/>
              <w:autoSpaceDN w:val="0"/>
              <w:adjustRightInd w:val="0"/>
              <w:spacing w:line="360" w:lineRule="auto"/>
              <w:ind w:firstLine="420"/>
              <w:rPr>
                <w:rFonts w:hint="eastAsia" w:ascii="宋体" w:hAnsi="宋体" w:eastAsia="宋体" w:cs="宋体"/>
                <w:lang w:val="zh-CN"/>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6F16BC99">
            <w:pPr>
              <w:autoSpaceDE w:val="0"/>
              <w:autoSpaceDN w:val="0"/>
              <w:adjustRightInd w:val="0"/>
              <w:spacing w:line="360" w:lineRule="auto"/>
              <w:ind w:firstLine="420"/>
              <w:rPr>
                <w:rFonts w:hint="eastAsia" w:ascii="宋体" w:hAnsi="宋体" w:eastAsia="宋体" w:cs="宋体"/>
                <w:lang w:val="zh-CN"/>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B6109CE">
            <w:pPr>
              <w:autoSpaceDE w:val="0"/>
              <w:autoSpaceDN w:val="0"/>
              <w:adjustRightInd w:val="0"/>
              <w:spacing w:line="360" w:lineRule="auto"/>
              <w:ind w:firstLine="420"/>
              <w:rPr>
                <w:rFonts w:hint="eastAsia" w:ascii="宋体" w:hAnsi="宋体" w:eastAsia="宋体" w:cs="宋体"/>
                <w:lang w:val="zh-CN"/>
              </w:rPr>
            </w:pPr>
          </w:p>
        </w:tc>
        <w:tc>
          <w:tcPr>
            <w:tcW w:w="2075" w:type="dxa"/>
            <w:tcBorders>
              <w:top w:val="single" w:color="000000" w:sz="4" w:space="0"/>
              <w:left w:val="single" w:color="000000" w:sz="4" w:space="0"/>
              <w:bottom w:val="single" w:color="000000" w:sz="4" w:space="0"/>
              <w:right w:val="single" w:color="000000" w:sz="4" w:space="0"/>
            </w:tcBorders>
            <w:noWrap w:val="0"/>
            <w:vAlign w:val="center"/>
          </w:tcPr>
          <w:p w14:paraId="010DBB9C">
            <w:pPr>
              <w:autoSpaceDE w:val="0"/>
              <w:autoSpaceDN w:val="0"/>
              <w:adjustRightInd w:val="0"/>
              <w:spacing w:line="360" w:lineRule="auto"/>
              <w:ind w:firstLine="420"/>
              <w:rPr>
                <w:rFonts w:hint="eastAsia" w:ascii="宋体" w:hAnsi="宋体" w:eastAsia="宋体" w:cs="宋体"/>
                <w:lang w:val="zh-CN"/>
              </w:rPr>
            </w:pPr>
          </w:p>
        </w:tc>
      </w:tr>
      <w:tr w14:paraId="630B5649">
        <w:tblPrEx>
          <w:tblCellMar>
            <w:top w:w="0" w:type="dxa"/>
            <w:left w:w="108" w:type="dxa"/>
            <w:bottom w:w="0" w:type="dxa"/>
            <w:right w:w="108" w:type="dxa"/>
          </w:tblCellMar>
        </w:tblPrEx>
        <w:trPr>
          <w:trHeight w:val="270" w:hRule="atLeast"/>
        </w:trPr>
        <w:tc>
          <w:tcPr>
            <w:tcW w:w="252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3B8DC6F">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总计</w:t>
            </w:r>
          </w:p>
        </w:tc>
        <w:tc>
          <w:tcPr>
            <w:tcW w:w="7162" w:type="dxa"/>
            <w:gridSpan w:val="5"/>
            <w:tcBorders>
              <w:top w:val="single" w:color="000000" w:sz="4" w:space="0"/>
              <w:left w:val="single" w:color="000000" w:sz="4" w:space="0"/>
              <w:bottom w:val="single" w:color="000000" w:sz="4" w:space="0"/>
              <w:right w:val="single" w:color="000000" w:sz="4" w:space="0"/>
            </w:tcBorders>
            <w:noWrap w:val="0"/>
            <w:vAlign w:val="center"/>
          </w:tcPr>
          <w:p w14:paraId="0259B567">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大写：</w:t>
            </w:r>
          </w:p>
        </w:tc>
      </w:tr>
      <w:tr w14:paraId="2D2A3AA1">
        <w:tblPrEx>
          <w:tblCellMar>
            <w:top w:w="0" w:type="dxa"/>
            <w:left w:w="108" w:type="dxa"/>
            <w:bottom w:w="0" w:type="dxa"/>
            <w:right w:w="108" w:type="dxa"/>
          </w:tblCellMar>
        </w:tblPrEx>
        <w:trPr>
          <w:trHeight w:val="270" w:hRule="atLeast"/>
        </w:trPr>
        <w:tc>
          <w:tcPr>
            <w:tcW w:w="252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F4A1DF8">
            <w:pPr>
              <w:autoSpaceDE w:val="0"/>
              <w:autoSpaceDN w:val="0"/>
              <w:adjustRightInd w:val="0"/>
              <w:spacing w:line="360" w:lineRule="auto"/>
              <w:ind w:firstLine="420"/>
              <w:rPr>
                <w:rFonts w:hint="eastAsia" w:ascii="宋体" w:hAnsi="宋体" w:eastAsia="宋体" w:cs="宋体"/>
                <w:lang w:val="zh-CN"/>
              </w:rPr>
            </w:pPr>
          </w:p>
        </w:tc>
        <w:tc>
          <w:tcPr>
            <w:tcW w:w="7162" w:type="dxa"/>
            <w:gridSpan w:val="5"/>
            <w:tcBorders>
              <w:top w:val="single" w:color="000000" w:sz="4" w:space="0"/>
              <w:left w:val="single" w:color="000000" w:sz="4" w:space="0"/>
              <w:bottom w:val="single" w:color="000000" w:sz="4" w:space="0"/>
              <w:right w:val="single" w:color="000000" w:sz="4" w:space="0"/>
            </w:tcBorders>
            <w:noWrap w:val="0"/>
            <w:vAlign w:val="center"/>
          </w:tcPr>
          <w:p w14:paraId="41CCAD87">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小写：</w:t>
            </w:r>
          </w:p>
        </w:tc>
      </w:tr>
      <w:tr w14:paraId="48CA8890">
        <w:tblPrEx>
          <w:tblCellMar>
            <w:top w:w="0" w:type="dxa"/>
            <w:left w:w="108" w:type="dxa"/>
            <w:bottom w:w="0" w:type="dxa"/>
            <w:right w:w="108" w:type="dxa"/>
          </w:tblCellMar>
        </w:tblPrEx>
        <w:trPr>
          <w:trHeight w:val="270" w:hRule="atLeast"/>
        </w:trPr>
        <w:tc>
          <w:tcPr>
            <w:tcW w:w="9683" w:type="dxa"/>
            <w:gridSpan w:val="7"/>
            <w:tcBorders>
              <w:top w:val="single" w:color="000000" w:sz="4" w:space="0"/>
              <w:left w:val="single" w:color="000000" w:sz="4" w:space="0"/>
              <w:bottom w:val="single" w:color="000000" w:sz="4" w:space="0"/>
              <w:right w:val="single" w:color="000000" w:sz="4" w:space="0"/>
            </w:tcBorders>
            <w:noWrap/>
            <w:vAlign w:val="center"/>
          </w:tcPr>
          <w:p w14:paraId="40302F32">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含增值税费、运费（含运输保险费）、上门安装、调试、培训等一切费用</w:t>
            </w:r>
          </w:p>
        </w:tc>
      </w:tr>
    </w:tbl>
    <w:p w14:paraId="67D086AD">
      <w:pPr>
        <w:autoSpaceDE w:val="0"/>
        <w:autoSpaceDN w:val="0"/>
        <w:adjustRightInd w:val="0"/>
        <w:spacing w:line="360" w:lineRule="auto"/>
        <w:ind w:firstLine="420"/>
        <w:rPr>
          <w:rFonts w:hint="eastAsia" w:ascii="宋体" w:hAnsi="宋体" w:eastAsia="宋体" w:cs="宋体"/>
          <w:lang w:val="zh-CN"/>
        </w:rPr>
      </w:pPr>
    </w:p>
    <w:p w14:paraId="3677364C">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报价币种：人民币（备注：投标人自行报价，充分考虑成本支出，如中标，所产生的缺项责任由投标人自行承担）。</w:t>
      </w:r>
    </w:p>
    <w:p w14:paraId="60C51685">
      <w:pPr>
        <w:autoSpaceDE w:val="0"/>
        <w:autoSpaceDN w:val="0"/>
        <w:adjustRightInd w:val="0"/>
        <w:spacing w:line="360" w:lineRule="auto"/>
        <w:ind w:firstLine="420"/>
        <w:rPr>
          <w:rFonts w:hint="eastAsia" w:ascii="宋体" w:hAnsi="宋体" w:eastAsia="宋体" w:cs="宋体"/>
          <w:lang w:val="zh-CN"/>
        </w:rPr>
      </w:pPr>
    </w:p>
    <w:p w14:paraId="3A403533">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 xml:space="preserve">投标人（盖章）：                              </w:t>
      </w:r>
    </w:p>
    <w:p w14:paraId="14647DC9">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 xml:space="preserve">法定代表人或委托代理人（签字）：             </w:t>
      </w:r>
    </w:p>
    <w:p w14:paraId="1C0C58CA">
      <w:pPr>
        <w:autoSpaceDE w:val="0"/>
        <w:autoSpaceDN w:val="0"/>
        <w:adjustRightInd w:val="0"/>
        <w:spacing w:line="360" w:lineRule="auto"/>
        <w:ind w:firstLine="420"/>
        <w:rPr>
          <w:rFonts w:hint="eastAsia" w:ascii="宋体" w:hAnsi="宋体" w:eastAsia="宋体" w:cs="宋体"/>
          <w:lang w:val="zh-CN"/>
        </w:rPr>
      </w:pPr>
      <w:r>
        <w:rPr>
          <w:rFonts w:hint="eastAsia" w:ascii="宋体" w:hAnsi="宋体" w:eastAsia="宋体" w:cs="宋体"/>
          <w:lang w:val="zh-CN"/>
        </w:rPr>
        <w:t>日期:      年    月     日</w:t>
      </w:r>
    </w:p>
    <w:p w14:paraId="5795D616">
      <w:pPr>
        <w:keepNext/>
        <w:keepLines w:val="0"/>
        <w:pageBreakBefore w:val="0"/>
        <w:widowControl w:val="0"/>
        <w:kinsoku/>
        <w:topLinePunct w:val="0"/>
        <w:bidi w:val="0"/>
        <w:ind w:firstLine="480" w:firstLineChars="200"/>
        <w:rPr>
          <w:rFonts w:hint="eastAsia" w:ascii="仿宋_GB2312" w:hAnsi="仿宋_GB2312" w:eastAsia="仿宋_GB2312" w:cs="仿宋_GB2312"/>
          <w:sz w:val="24"/>
          <w:highlight w:val="none"/>
        </w:rPr>
      </w:pPr>
    </w:p>
    <w:p w14:paraId="5E8D9466">
      <w:pPr>
        <w:wordWrap w:val="0"/>
        <w:spacing w:before="120" w:after="120"/>
        <w:jc w:val="both"/>
        <w:rPr>
          <w:rFonts w:hint="eastAsia"/>
          <w:color w:val="000000"/>
          <w:u w:val="single"/>
        </w:rPr>
      </w:pPr>
      <w:r>
        <w:rPr>
          <w:rFonts w:hint="eastAsia" w:ascii="仿宋_GB2312" w:hAnsi="仿宋_GB2312" w:eastAsia="仿宋_GB2312" w:cs="仿宋_GB2312"/>
          <w:sz w:val="24"/>
          <w:szCs w:val="24"/>
          <w:highlight w:val="none"/>
        </w:rPr>
        <w:br w:type="page"/>
      </w:r>
      <w:r>
        <w:rPr>
          <w:rFonts w:hint="eastAsia"/>
          <w:color w:val="000000"/>
        </w:rPr>
        <w:t xml:space="preserve">                                                                    </w:t>
      </w:r>
    </w:p>
    <w:p w14:paraId="4348127F">
      <w:pPr>
        <w:wordWrap w:val="0"/>
        <w:spacing w:before="120" w:after="120"/>
        <w:jc w:val="right"/>
        <w:rPr>
          <w:rFonts w:hint="eastAsia"/>
          <w:color w:val="000000"/>
        </w:rPr>
      </w:pPr>
      <w:r>
        <w:rPr>
          <w:rFonts w:hint="eastAsia"/>
          <w:color w:val="000000"/>
        </w:rPr>
        <w:t xml:space="preserve">      </w:t>
      </w:r>
    </w:p>
    <w:bookmarkEnd w:id="161"/>
    <w:bookmarkEnd w:id="162"/>
    <w:p w14:paraId="7A5CDF9F">
      <w:pPr>
        <w:rPr>
          <w:rFonts w:hint="eastAsia" w:eastAsia="宋体"/>
          <w:lang w:val="en-US" w:eastAsia="zh-CN"/>
        </w:rPr>
      </w:pPr>
      <w:r>
        <w:rPr>
          <w:rFonts w:hint="eastAsia"/>
          <w:lang w:val="en-US" w:eastAsia="zh-CN"/>
        </w:rPr>
        <w:t xml:space="preserve"> </w:t>
      </w:r>
    </w:p>
    <w:p w14:paraId="45D86616">
      <w:pPr>
        <w:pStyle w:val="3"/>
        <w:rPr>
          <w:rFonts w:hint="eastAsia"/>
        </w:rPr>
      </w:pPr>
      <w:bookmarkStart w:id="163" w:name="OLE_LINK18"/>
      <w:bookmarkStart w:id="164" w:name="_Hlk88428459"/>
      <w:r>
        <w:rPr>
          <w:rFonts w:hint="eastAsia"/>
        </w:rPr>
        <w:t>分项报价表</w:t>
      </w:r>
    </w:p>
    <w:bookmarkEnd w:id="163"/>
    <w:p w14:paraId="7A7AA3DD">
      <w:pPr>
        <w:jc w:val="center"/>
        <w:rPr>
          <w:rFonts w:hint="eastAsia"/>
          <w:b/>
          <w:bCs/>
        </w:rPr>
      </w:pPr>
    </w:p>
    <w:p w14:paraId="5EFBEF77">
      <w:pPr>
        <w:jc w:val="center"/>
        <w:rPr>
          <w:rFonts w:hint="eastAsia"/>
          <w:b/>
          <w:bCs/>
        </w:rPr>
      </w:pPr>
      <w:bookmarkStart w:id="165" w:name="OLE_LINK11"/>
      <w:r>
        <w:rPr>
          <w:rFonts w:hint="eastAsia"/>
          <w:b/>
          <w:bCs/>
        </w:rPr>
        <w:t>分项报价表</w:t>
      </w:r>
    </w:p>
    <w:tbl>
      <w:tblPr>
        <w:tblStyle w:val="33"/>
        <w:tblpPr w:leftFromText="180" w:rightFromText="180" w:vertAnchor="text" w:horzAnchor="page" w:tblpX="1313" w:tblpY="364"/>
        <w:tblOverlap w:val="never"/>
        <w:tblW w:w="10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486"/>
        <w:gridCol w:w="1413"/>
        <w:gridCol w:w="1418"/>
        <w:gridCol w:w="1417"/>
        <w:gridCol w:w="1417"/>
        <w:gridCol w:w="1418"/>
        <w:gridCol w:w="1559"/>
      </w:tblGrid>
      <w:tr w14:paraId="3E6C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31" w:type="dxa"/>
            <w:vAlign w:val="center"/>
          </w:tcPr>
          <w:p w14:paraId="2FD22927">
            <w:pPr>
              <w:jc w:val="center"/>
              <w:rPr>
                <w:rFonts w:hint="eastAsia"/>
                <w:szCs w:val="21"/>
              </w:rPr>
            </w:pPr>
            <w:r>
              <w:rPr>
                <w:rFonts w:hint="eastAsia"/>
                <w:szCs w:val="21"/>
              </w:rPr>
              <w:t>序号</w:t>
            </w:r>
          </w:p>
        </w:tc>
        <w:tc>
          <w:tcPr>
            <w:tcW w:w="1899" w:type="dxa"/>
            <w:gridSpan w:val="2"/>
            <w:vAlign w:val="center"/>
          </w:tcPr>
          <w:p w14:paraId="43965211">
            <w:pPr>
              <w:jc w:val="center"/>
              <w:rPr>
                <w:rFonts w:hint="eastAsia"/>
                <w:szCs w:val="21"/>
              </w:rPr>
            </w:pPr>
            <w:r>
              <w:rPr>
                <w:rFonts w:hint="eastAsia"/>
                <w:szCs w:val="21"/>
              </w:rPr>
              <w:t>设备/服务名称</w:t>
            </w:r>
          </w:p>
        </w:tc>
        <w:tc>
          <w:tcPr>
            <w:tcW w:w="1418" w:type="dxa"/>
            <w:vAlign w:val="center"/>
          </w:tcPr>
          <w:p w14:paraId="6CD13B81">
            <w:pPr>
              <w:jc w:val="center"/>
              <w:rPr>
                <w:rFonts w:hint="eastAsia"/>
                <w:szCs w:val="21"/>
              </w:rPr>
            </w:pPr>
            <w:bookmarkStart w:id="166" w:name="OLE_LINK19"/>
            <w:r>
              <w:rPr>
                <w:rFonts w:hint="eastAsia"/>
                <w:szCs w:val="21"/>
              </w:rPr>
              <w:t>规格及型号</w:t>
            </w:r>
            <w:bookmarkEnd w:id="166"/>
          </w:p>
        </w:tc>
        <w:tc>
          <w:tcPr>
            <w:tcW w:w="1417" w:type="dxa"/>
          </w:tcPr>
          <w:p w14:paraId="03BB9D73">
            <w:pPr>
              <w:jc w:val="center"/>
              <w:rPr>
                <w:szCs w:val="21"/>
              </w:rPr>
            </w:pPr>
          </w:p>
          <w:p w14:paraId="1ECC7DC2">
            <w:pPr>
              <w:spacing w:line="480" w:lineRule="auto"/>
              <w:jc w:val="center"/>
              <w:rPr>
                <w:rFonts w:hint="eastAsia"/>
                <w:szCs w:val="21"/>
              </w:rPr>
            </w:pPr>
            <w:r>
              <w:rPr>
                <w:rFonts w:hint="eastAsia"/>
                <w:szCs w:val="21"/>
              </w:rPr>
              <w:t>制造厂家</w:t>
            </w:r>
          </w:p>
        </w:tc>
        <w:tc>
          <w:tcPr>
            <w:tcW w:w="1417" w:type="dxa"/>
            <w:vAlign w:val="center"/>
          </w:tcPr>
          <w:p w14:paraId="2800EEE7">
            <w:pPr>
              <w:jc w:val="center"/>
              <w:rPr>
                <w:rFonts w:hint="eastAsia"/>
                <w:szCs w:val="21"/>
              </w:rPr>
            </w:pPr>
            <w:r>
              <w:rPr>
                <w:rFonts w:hint="eastAsia"/>
                <w:szCs w:val="21"/>
              </w:rPr>
              <w:t>数量</w:t>
            </w:r>
          </w:p>
        </w:tc>
        <w:tc>
          <w:tcPr>
            <w:tcW w:w="1418" w:type="dxa"/>
            <w:vAlign w:val="center"/>
          </w:tcPr>
          <w:p w14:paraId="6EB48806">
            <w:pPr>
              <w:jc w:val="center"/>
              <w:rPr>
                <w:rFonts w:hint="eastAsia"/>
                <w:szCs w:val="21"/>
              </w:rPr>
            </w:pPr>
            <w:r>
              <w:rPr>
                <w:rFonts w:hint="eastAsia"/>
                <w:szCs w:val="21"/>
              </w:rPr>
              <w:t>单价(元)</w:t>
            </w:r>
          </w:p>
        </w:tc>
        <w:tc>
          <w:tcPr>
            <w:tcW w:w="1559" w:type="dxa"/>
            <w:vAlign w:val="center"/>
          </w:tcPr>
          <w:p w14:paraId="619DCB70">
            <w:pPr>
              <w:jc w:val="center"/>
              <w:rPr>
                <w:rFonts w:hint="eastAsia"/>
                <w:szCs w:val="21"/>
              </w:rPr>
            </w:pPr>
            <w:r>
              <w:rPr>
                <w:rFonts w:hint="eastAsia"/>
                <w:szCs w:val="21"/>
              </w:rPr>
              <w:t>合价(元)</w:t>
            </w:r>
          </w:p>
        </w:tc>
      </w:tr>
      <w:tr w14:paraId="73F9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1B3A5B69">
            <w:pPr>
              <w:jc w:val="center"/>
              <w:rPr>
                <w:rFonts w:hint="eastAsia"/>
              </w:rPr>
            </w:pPr>
            <w:r>
              <w:rPr>
                <w:rFonts w:hint="eastAsia"/>
              </w:rPr>
              <w:t>1</w:t>
            </w:r>
          </w:p>
        </w:tc>
        <w:tc>
          <w:tcPr>
            <w:tcW w:w="1899" w:type="dxa"/>
            <w:gridSpan w:val="2"/>
            <w:vAlign w:val="center"/>
          </w:tcPr>
          <w:p w14:paraId="09D1B49B">
            <w:pPr>
              <w:rPr>
                <w:rFonts w:hint="eastAsia"/>
                <w:bCs/>
                <w:szCs w:val="21"/>
              </w:rPr>
            </w:pPr>
          </w:p>
        </w:tc>
        <w:tc>
          <w:tcPr>
            <w:tcW w:w="1418" w:type="dxa"/>
            <w:vAlign w:val="center"/>
          </w:tcPr>
          <w:p w14:paraId="4D82ED28">
            <w:pPr>
              <w:jc w:val="center"/>
              <w:rPr>
                <w:rFonts w:hint="eastAsia"/>
                <w:szCs w:val="21"/>
              </w:rPr>
            </w:pPr>
          </w:p>
        </w:tc>
        <w:tc>
          <w:tcPr>
            <w:tcW w:w="1417" w:type="dxa"/>
          </w:tcPr>
          <w:p w14:paraId="1659B3F2">
            <w:pPr>
              <w:jc w:val="center"/>
              <w:rPr>
                <w:rFonts w:hint="eastAsia"/>
                <w:bCs/>
                <w:szCs w:val="21"/>
              </w:rPr>
            </w:pPr>
          </w:p>
        </w:tc>
        <w:tc>
          <w:tcPr>
            <w:tcW w:w="1417" w:type="dxa"/>
            <w:vAlign w:val="center"/>
          </w:tcPr>
          <w:p w14:paraId="5199B84A">
            <w:pPr>
              <w:jc w:val="center"/>
              <w:rPr>
                <w:rFonts w:hint="eastAsia"/>
                <w:bCs/>
                <w:szCs w:val="21"/>
              </w:rPr>
            </w:pPr>
          </w:p>
        </w:tc>
        <w:tc>
          <w:tcPr>
            <w:tcW w:w="1418" w:type="dxa"/>
            <w:vAlign w:val="center"/>
          </w:tcPr>
          <w:p w14:paraId="7AABA122">
            <w:pPr>
              <w:jc w:val="center"/>
              <w:rPr>
                <w:rFonts w:hint="eastAsia"/>
                <w:color w:val="000000"/>
                <w:szCs w:val="21"/>
              </w:rPr>
            </w:pPr>
          </w:p>
        </w:tc>
        <w:tc>
          <w:tcPr>
            <w:tcW w:w="1559" w:type="dxa"/>
            <w:vAlign w:val="center"/>
          </w:tcPr>
          <w:p w14:paraId="283B4DB7">
            <w:pPr>
              <w:jc w:val="center"/>
              <w:rPr>
                <w:rFonts w:hint="eastAsia"/>
                <w:color w:val="000000"/>
                <w:szCs w:val="21"/>
              </w:rPr>
            </w:pPr>
          </w:p>
        </w:tc>
      </w:tr>
      <w:tr w14:paraId="6ED0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3F4FA2FC">
            <w:pPr>
              <w:jc w:val="center"/>
              <w:rPr>
                <w:rFonts w:hint="eastAsia"/>
              </w:rPr>
            </w:pPr>
            <w:r>
              <w:rPr>
                <w:rFonts w:hint="eastAsia"/>
              </w:rPr>
              <w:t>2</w:t>
            </w:r>
          </w:p>
        </w:tc>
        <w:tc>
          <w:tcPr>
            <w:tcW w:w="1899" w:type="dxa"/>
            <w:gridSpan w:val="2"/>
            <w:vAlign w:val="center"/>
          </w:tcPr>
          <w:p w14:paraId="78F8BFC0">
            <w:pPr>
              <w:rPr>
                <w:rFonts w:hint="eastAsia"/>
                <w:bCs/>
                <w:szCs w:val="21"/>
              </w:rPr>
            </w:pPr>
          </w:p>
        </w:tc>
        <w:tc>
          <w:tcPr>
            <w:tcW w:w="1418" w:type="dxa"/>
            <w:vAlign w:val="center"/>
          </w:tcPr>
          <w:p w14:paraId="5DEDEEE5">
            <w:pPr>
              <w:jc w:val="center"/>
              <w:rPr>
                <w:rFonts w:hint="eastAsia"/>
                <w:szCs w:val="21"/>
              </w:rPr>
            </w:pPr>
          </w:p>
        </w:tc>
        <w:tc>
          <w:tcPr>
            <w:tcW w:w="1417" w:type="dxa"/>
          </w:tcPr>
          <w:p w14:paraId="232D411D">
            <w:pPr>
              <w:jc w:val="center"/>
              <w:rPr>
                <w:rFonts w:hint="eastAsia"/>
                <w:bCs/>
                <w:szCs w:val="21"/>
              </w:rPr>
            </w:pPr>
          </w:p>
        </w:tc>
        <w:tc>
          <w:tcPr>
            <w:tcW w:w="1417" w:type="dxa"/>
            <w:vAlign w:val="center"/>
          </w:tcPr>
          <w:p w14:paraId="7AFDF85B">
            <w:pPr>
              <w:jc w:val="center"/>
              <w:rPr>
                <w:rFonts w:hint="eastAsia"/>
                <w:bCs/>
                <w:szCs w:val="21"/>
              </w:rPr>
            </w:pPr>
          </w:p>
        </w:tc>
        <w:tc>
          <w:tcPr>
            <w:tcW w:w="1418" w:type="dxa"/>
            <w:vAlign w:val="center"/>
          </w:tcPr>
          <w:p w14:paraId="53546D41">
            <w:pPr>
              <w:jc w:val="center"/>
              <w:rPr>
                <w:rFonts w:hint="eastAsia"/>
                <w:color w:val="000000"/>
                <w:szCs w:val="21"/>
              </w:rPr>
            </w:pPr>
          </w:p>
        </w:tc>
        <w:tc>
          <w:tcPr>
            <w:tcW w:w="1559" w:type="dxa"/>
            <w:vAlign w:val="center"/>
          </w:tcPr>
          <w:p w14:paraId="1B8B6336">
            <w:pPr>
              <w:jc w:val="center"/>
              <w:rPr>
                <w:rFonts w:hint="eastAsia"/>
                <w:color w:val="000000"/>
                <w:szCs w:val="21"/>
              </w:rPr>
            </w:pPr>
          </w:p>
        </w:tc>
      </w:tr>
      <w:tr w14:paraId="3823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241FED45">
            <w:pPr>
              <w:jc w:val="center"/>
              <w:rPr>
                <w:rFonts w:hint="eastAsia"/>
              </w:rPr>
            </w:pPr>
            <w:r>
              <w:rPr>
                <w:rFonts w:hint="eastAsia"/>
              </w:rPr>
              <w:t>3</w:t>
            </w:r>
          </w:p>
        </w:tc>
        <w:tc>
          <w:tcPr>
            <w:tcW w:w="1899" w:type="dxa"/>
            <w:gridSpan w:val="2"/>
            <w:vAlign w:val="center"/>
          </w:tcPr>
          <w:p w14:paraId="5AEEB111">
            <w:pPr>
              <w:rPr>
                <w:rFonts w:hint="eastAsia"/>
                <w:bCs/>
                <w:szCs w:val="21"/>
              </w:rPr>
            </w:pPr>
          </w:p>
        </w:tc>
        <w:tc>
          <w:tcPr>
            <w:tcW w:w="1418" w:type="dxa"/>
            <w:vAlign w:val="center"/>
          </w:tcPr>
          <w:p w14:paraId="74069102">
            <w:pPr>
              <w:jc w:val="center"/>
              <w:rPr>
                <w:rFonts w:hint="eastAsia"/>
                <w:szCs w:val="21"/>
              </w:rPr>
            </w:pPr>
          </w:p>
        </w:tc>
        <w:tc>
          <w:tcPr>
            <w:tcW w:w="1417" w:type="dxa"/>
          </w:tcPr>
          <w:p w14:paraId="622358AF">
            <w:pPr>
              <w:jc w:val="center"/>
              <w:rPr>
                <w:rFonts w:hint="eastAsia"/>
                <w:bCs/>
                <w:szCs w:val="21"/>
              </w:rPr>
            </w:pPr>
          </w:p>
        </w:tc>
        <w:tc>
          <w:tcPr>
            <w:tcW w:w="1417" w:type="dxa"/>
            <w:vAlign w:val="center"/>
          </w:tcPr>
          <w:p w14:paraId="62BEC615">
            <w:pPr>
              <w:jc w:val="center"/>
              <w:rPr>
                <w:rFonts w:hint="eastAsia"/>
                <w:bCs/>
                <w:szCs w:val="21"/>
              </w:rPr>
            </w:pPr>
          </w:p>
        </w:tc>
        <w:tc>
          <w:tcPr>
            <w:tcW w:w="1418" w:type="dxa"/>
            <w:vAlign w:val="center"/>
          </w:tcPr>
          <w:p w14:paraId="0F6E0B7C">
            <w:pPr>
              <w:jc w:val="center"/>
              <w:rPr>
                <w:rFonts w:hint="eastAsia"/>
                <w:color w:val="000000"/>
                <w:szCs w:val="21"/>
              </w:rPr>
            </w:pPr>
          </w:p>
        </w:tc>
        <w:tc>
          <w:tcPr>
            <w:tcW w:w="1559" w:type="dxa"/>
            <w:vAlign w:val="center"/>
          </w:tcPr>
          <w:p w14:paraId="4A9467A9">
            <w:pPr>
              <w:jc w:val="center"/>
              <w:rPr>
                <w:rFonts w:hint="eastAsia"/>
                <w:color w:val="000000"/>
                <w:szCs w:val="21"/>
              </w:rPr>
            </w:pPr>
          </w:p>
        </w:tc>
      </w:tr>
      <w:tr w14:paraId="70B8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30B37179">
            <w:pPr>
              <w:jc w:val="center"/>
              <w:rPr>
                <w:rFonts w:hint="eastAsia"/>
              </w:rPr>
            </w:pPr>
            <w:r>
              <w:rPr>
                <w:rFonts w:hint="eastAsia"/>
              </w:rPr>
              <w:t>4</w:t>
            </w:r>
          </w:p>
        </w:tc>
        <w:tc>
          <w:tcPr>
            <w:tcW w:w="1899" w:type="dxa"/>
            <w:gridSpan w:val="2"/>
            <w:vAlign w:val="center"/>
          </w:tcPr>
          <w:p w14:paraId="66CC5712">
            <w:pPr>
              <w:rPr>
                <w:rFonts w:hint="eastAsia"/>
                <w:bCs/>
                <w:szCs w:val="21"/>
              </w:rPr>
            </w:pPr>
          </w:p>
        </w:tc>
        <w:tc>
          <w:tcPr>
            <w:tcW w:w="1418" w:type="dxa"/>
            <w:vAlign w:val="center"/>
          </w:tcPr>
          <w:p w14:paraId="700AADA2">
            <w:pPr>
              <w:jc w:val="center"/>
              <w:rPr>
                <w:rFonts w:hint="eastAsia"/>
                <w:szCs w:val="21"/>
              </w:rPr>
            </w:pPr>
          </w:p>
        </w:tc>
        <w:tc>
          <w:tcPr>
            <w:tcW w:w="1417" w:type="dxa"/>
          </w:tcPr>
          <w:p w14:paraId="646F6F91">
            <w:pPr>
              <w:jc w:val="center"/>
              <w:rPr>
                <w:rFonts w:hint="eastAsia"/>
                <w:bCs/>
                <w:szCs w:val="21"/>
              </w:rPr>
            </w:pPr>
          </w:p>
        </w:tc>
        <w:tc>
          <w:tcPr>
            <w:tcW w:w="1417" w:type="dxa"/>
            <w:vAlign w:val="center"/>
          </w:tcPr>
          <w:p w14:paraId="5AB453F8">
            <w:pPr>
              <w:jc w:val="center"/>
              <w:rPr>
                <w:rFonts w:hint="eastAsia"/>
                <w:bCs/>
                <w:szCs w:val="21"/>
              </w:rPr>
            </w:pPr>
          </w:p>
        </w:tc>
        <w:tc>
          <w:tcPr>
            <w:tcW w:w="1418" w:type="dxa"/>
            <w:vAlign w:val="center"/>
          </w:tcPr>
          <w:p w14:paraId="68CE3AF8">
            <w:pPr>
              <w:jc w:val="center"/>
              <w:rPr>
                <w:rFonts w:hint="eastAsia"/>
                <w:color w:val="000000"/>
                <w:szCs w:val="21"/>
              </w:rPr>
            </w:pPr>
          </w:p>
        </w:tc>
        <w:tc>
          <w:tcPr>
            <w:tcW w:w="1559" w:type="dxa"/>
            <w:vAlign w:val="center"/>
          </w:tcPr>
          <w:p w14:paraId="712C92ED">
            <w:pPr>
              <w:jc w:val="center"/>
              <w:rPr>
                <w:rFonts w:hint="eastAsia"/>
                <w:color w:val="000000"/>
                <w:szCs w:val="21"/>
              </w:rPr>
            </w:pPr>
          </w:p>
        </w:tc>
      </w:tr>
      <w:tr w14:paraId="4CF6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5F51C882">
            <w:pPr>
              <w:jc w:val="center"/>
              <w:rPr>
                <w:rFonts w:hint="eastAsia"/>
              </w:rPr>
            </w:pPr>
            <w:r>
              <w:rPr>
                <w:rFonts w:hint="eastAsia"/>
              </w:rPr>
              <w:t>5</w:t>
            </w:r>
          </w:p>
        </w:tc>
        <w:tc>
          <w:tcPr>
            <w:tcW w:w="1899" w:type="dxa"/>
            <w:gridSpan w:val="2"/>
            <w:vAlign w:val="center"/>
          </w:tcPr>
          <w:p w14:paraId="7B8CC871">
            <w:pPr>
              <w:rPr>
                <w:rFonts w:hint="eastAsia"/>
                <w:bCs/>
                <w:szCs w:val="21"/>
              </w:rPr>
            </w:pPr>
          </w:p>
        </w:tc>
        <w:tc>
          <w:tcPr>
            <w:tcW w:w="1418" w:type="dxa"/>
            <w:vAlign w:val="center"/>
          </w:tcPr>
          <w:p w14:paraId="757E3A35">
            <w:pPr>
              <w:jc w:val="center"/>
              <w:rPr>
                <w:rFonts w:hint="eastAsia"/>
                <w:szCs w:val="21"/>
              </w:rPr>
            </w:pPr>
          </w:p>
        </w:tc>
        <w:tc>
          <w:tcPr>
            <w:tcW w:w="1417" w:type="dxa"/>
          </w:tcPr>
          <w:p w14:paraId="20FC91E4">
            <w:pPr>
              <w:jc w:val="center"/>
              <w:rPr>
                <w:rFonts w:hint="eastAsia"/>
                <w:bCs/>
                <w:szCs w:val="21"/>
              </w:rPr>
            </w:pPr>
          </w:p>
        </w:tc>
        <w:tc>
          <w:tcPr>
            <w:tcW w:w="1417" w:type="dxa"/>
            <w:vAlign w:val="center"/>
          </w:tcPr>
          <w:p w14:paraId="67876CAE">
            <w:pPr>
              <w:jc w:val="center"/>
              <w:rPr>
                <w:rFonts w:hint="eastAsia"/>
                <w:bCs/>
                <w:szCs w:val="21"/>
              </w:rPr>
            </w:pPr>
          </w:p>
        </w:tc>
        <w:tc>
          <w:tcPr>
            <w:tcW w:w="1418" w:type="dxa"/>
            <w:vAlign w:val="center"/>
          </w:tcPr>
          <w:p w14:paraId="0037115B">
            <w:pPr>
              <w:jc w:val="center"/>
              <w:rPr>
                <w:rFonts w:hint="eastAsia"/>
                <w:color w:val="000000"/>
                <w:szCs w:val="21"/>
              </w:rPr>
            </w:pPr>
          </w:p>
        </w:tc>
        <w:tc>
          <w:tcPr>
            <w:tcW w:w="1559" w:type="dxa"/>
            <w:vAlign w:val="center"/>
          </w:tcPr>
          <w:p w14:paraId="0C52F798">
            <w:pPr>
              <w:jc w:val="center"/>
              <w:rPr>
                <w:rFonts w:hint="eastAsia"/>
                <w:color w:val="000000"/>
                <w:szCs w:val="21"/>
              </w:rPr>
            </w:pPr>
          </w:p>
        </w:tc>
      </w:tr>
      <w:tr w14:paraId="41E2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60341BCC">
            <w:pPr>
              <w:jc w:val="center"/>
              <w:rPr>
                <w:rFonts w:hint="eastAsia"/>
              </w:rPr>
            </w:pPr>
            <w:r>
              <w:rPr>
                <w:rFonts w:hint="eastAsia"/>
              </w:rPr>
              <w:t>6</w:t>
            </w:r>
          </w:p>
        </w:tc>
        <w:tc>
          <w:tcPr>
            <w:tcW w:w="1899" w:type="dxa"/>
            <w:gridSpan w:val="2"/>
            <w:vAlign w:val="center"/>
          </w:tcPr>
          <w:p w14:paraId="256670A3">
            <w:pPr>
              <w:rPr>
                <w:rFonts w:hint="eastAsia"/>
                <w:bCs/>
                <w:szCs w:val="21"/>
              </w:rPr>
            </w:pPr>
          </w:p>
        </w:tc>
        <w:tc>
          <w:tcPr>
            <w:tcW w:w="1418" w:type="dxa"/>
            <w:vAlign w:val="center"/>
          </w:tcPr>
          <w:p w14:paraId="6DAA9AC0">
            <w:pPr>
              <w:jc w:val="center"/>
              <w:rPr>
                <w:rFonts w:hint="eastAsia"/>
                <w:szCs w:val="21"/>
              </w:rPr>
            </w:pPr>
          </w:p>
        </w:tc>
        <w:tc>
          <w:tcPr>
            <w:tcW w:w="1417" w:type="dxa"/>
          </w:tcPr>
          <w:p w14:paraId="49B36871">
            <w:pPr>
              <w:jc w:val="center"/>
              <w:rPr>
                <w:rFonts w:hint="eastAsia"/>
                <w:bCs/>
                <w:szCs w:val="21"/>
              </w:rPr>
            </w:pPr>
          </w:p>
        </w:tc>
        <w:tc>
          <w:tcPr>
            <w:tcW w:w="1417" w:type="dxa"/>
            <w:vAlign w:val="center"/>
          </w:tcPr>
          <w:p w14:paraId="308B9E94">
            <w:pPr>
              <w:jc w:val="center"/>
              <w:rPr>
                <w:rFonts w:hint="eastAsia"/>
                <w:bCs/>
                <w:szCs w:val="21"/>
              </w:rPr>
            </w:pPr>
          </w:p>
        </w:tc>
        <w:tc>
          <w:tcPr>
            <w:tcW w:w="1418" w:type="dxa"/>
            <w:vAlign w:val="center"/>
          </w:tcPr>
          <w:p w14:paraId="49DB2D6E">
            <w:pPr>
              <w:jc w:val="center"/>
              <w:rPr>
                <w:rFonts w:hint="eastAsia"/>
                <w:color w:val="000000"/>
                <w:szCs w:val="21"/>
              </w:rPr>
            </w:pPr>
          </w:p>
        </w:tc>
        <w:tc>
          <w:tcPr>
            <w:tcW w:w="1559" w:type="dxa"/>
            <w:vAlign w:val="center"/>
          </w:tcPr>
          <w:p w14:paraId="4197C302">
            <w:pPr>
              <w:jc w:val="center"/>
              <w:rPr>
                <w:rFonts w:hint="eastAsia"/>
                <w:color w:val="000000"/>
                <w:szCs w:val="21"/>
              </w:rPr>
            </w:pPr>
          </w:p>
        </w:tc>
      </w:tr>
      <w:tr w14:paraId="3CB3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77C91163">
            <w:pPr>
              <w:jc w:val="center"/>
              <w:rPr>
                <w:rFonts w:hint="eastAsia"/>
              </w:rPr>
            </w:pPr>
            <w:r>
              <w:rPr>
                <w:rFonts w:hint="eastAsia"/>
              </w:rPr>
              <w:t>7</w:t>
            </w:r>
          </w:p>
        </w:tc>
        <w:tc>
          <w:tcPr>
            <w:tcW w:w="1899" w:type="dxa"/>
            <w:gridSpan w:val="2"/>
            <w:vAlign w:val="center"/>
          </w:tcPr>
          <w:p w14:paraId="2C1FA255">
            <w:pPr>
              <w:rPr>
                <w:rFonts w:hint="eastAsia"/>
                <w:bCs/>
                <w:szCs w:val="21"/>
              </w:rPr>
            </w:pPr>
          </w:p>
        </w:tc>
        <w:tc>
          <w:tcPr>
            <w:tcW w:w="1418" w:type="dxa"/>
            <w:vAlign w:val="center"/>
          </w:tcPr>
          <w:p w14:paraId="3CB41A28">
            <w:pPr>
              <w:jc w:val="center"/>
              <w:rPr>
                <w:rFonts w:hint="eastAsia"/>
                <w:szCs w:val="21"/>
              </w:rPr>
            </w:pPr>
          </w:p>
        </w:tc>
        <w:tc>
          <w:tcPr>
            <w:tcW w:w="1417" w:type="dxa"/>
          </w:tcPr>
          <w:p w14:paraId="0122DA69">
            <w:pPr>
              <w:jc w:val="center"/>
              <w:rPr>
                <w:rFonts w:hint="eastAsia"/>
                <w:bCs/>
                <w:szCs w:val="21"/>
              </w:rPr>
            </w:pPr>
          </w:p>
        </w:tc>
        <w:tc>
          <w:tcPr>
            <w:tcW w:w="1417" w:type="dxa"/>
            <w:vAlign w:val="center"/>
          </w:tcPr>
          <w:p w14:paraId="6D85E459">
            <w:pPr>
              <w:jc w:val="center"/>
              <w:rPr>
                <w:rFonts w:hint="eastAsia"/>
                <w:bCs/>
                <w:szCs w:val="21"/>
              </w:rPr>
            </w:pPr>
          </w:p>
        </w:tc>
        <w:tc>
          <w:tcPr>
            <w:tcW w:w="1418" w:type="dxa"/>
            <w:vAlign w:val="center"/>
          </w:tcPr>
          <w:p w14:paraId="4BA04486">
            <w:pPr>
              <w:jc w:val="center"/>
              <w:rPr>
                <w:rFonts w:hint="eastAsia"/>
                <w:color w:val="000000"/>
                <w:szCs w:val="21"/>
              </w:rPr>
            </w:pPr>
          </w:p>
        </w:tc>
        <w:tc>
          <w:tcPr>
            <w:tcW w:w="1559" w:type="dxa"/>
            <w:vAlign w:val="center"/>
          </w:tcPr>
          <w:p w14:paraId="0C0D04CB">
            <w:pPr>
              <w:jc w:val="center"/>
              <w:rPr>
                <w:rFonts w:hint="eastAsia"/>
                <w:color w:val="000000"/>
                <w:szCs w:val="21"/>
              </w:rPr>
            </w:pPr>
          </w:p>
        </w:tc>
      </w:tr>
      <w:tr w14:paraId="6DBE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1" w:type="dxa"/>
            <w:vAlign w:val="center"/>
          </w:tcPr>
          <w:p w14:paraId="3458AAED">
            <w:pPr>
              <w:jc w:val="center"/>
              <w:rPr>
                <w:rFonts w:hint="eastAsia"/>
              </w:rPr>
            </w:pPr>
            <w:r>
              <w:rPr>
                <w:rFonts w:hint="eastAsia"/>
              </w:rPr>
              <w:t>8</w:t>
            </w:r>
          </w:p>
        </w:tc>
        <w:tc>
          <w:tcPr>
            <w:tcW w:w="1899" w:type="dxa"/>
            <w:gridSpan w:val="2"/>
            <w:vAlign w:val="center"/>
          </w:tcPr>
          <w:p w14:paraId="493B3003">
            <w:pPr>
              <w:rPr>
                <w:rFonts w:hint="eastAsia"/>
                <w:bCs/>
                <w:szCs w:val="21"/>
              </w:rPr>
            </w:pPr>
          </w:p>
        </w:tc>
        <w:tc>
          <w:tcPr>
            <w:tcW w:w="1418" w:type="dxa"/>
            <w:vAlign w:val="center"/>
          </w:tcPr>
          <w:p w14:paraId="72F79636">
            <w:pPr>
              <w:jc w:val="center"/>
              <w:rPr>
                <w:rFonts w:hint="eastAsia"/>
                <w:szCs w:val="21"/>
              </w:rPr>
            </w:pPr>
          </w:p>
        </w:tc>
        <w:tc>
          <w:tcPr>
            <w:tcW w:w="1417" w:type="dxa"/>
          </w:tcPr>
          <w:p w14:paraId="1684EC1F">
            <w:pPr>
              <w:jc w:val="center"/>
              <w:rPr>
                <w:rFonts w:hint="eastAsia"/>
                <w:bCs/>
                <w:szCs w:val="21"/>
              </w:rPr>
            </w:pPr>
          </w:p>
        </w:tc>
        <w:tc>
          <w:tcPr>
            <w:tcW w:w="1417" w:type="dxa"/>
            <w:vAlign w:val="center"/>
          </w:tcPr>
          <w:p w14:paraId="6E8188BD">
            <w:pPr>
              <w:jc w:val="center"/>
              <w:rPr>
                <w:rFonts w:hint="eastAsia"/>
                <w:bCs/>
                <w:szCs w:val="21"/>
              </w:rPr>
            </w:pPr>
          </w:p>
        </w:tc>
        <w:tc>
          <w:tcPr>
            <w:tcW w:w="1418" w:type="dxa"/>
            <w:vAlign w:val="center"/>
          </w:tcPr>
          <w:p w14:paraId="1C9AAD10">
            <w:pPr>
              <w:jc w:val="center"/>
              <w:rPr>
                <w:rFonts w:hint="eastAsia"/>
                <w:color w:val="000000"/>
                <w:szCs w:val="21"/>
              </w:rPr>
            </w:pPr>
          </w:p>
        </w:tc>
        <w:tc>
          <w:tcPr>
            <w:tcW w:w="1559" w:type="dxa"/>
            <w:vAlign w:val="center"/>
          </w:tcPr>
          <w:p w14:paraId="2F0A6C4D">
            <w:pPr>
              <w:jc w:val="center"/>
              <w:rPr>
                <w:rFonts w:hint="eastAsia"/>
                <w:color w:val="000000"/>
                <w:szCs w:val="21"/>
              </w:rPr>
            </w:pPr>
          </w:p>
        </w:tc>
      </w:tr>
      <w:tr w14:paraId="4964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417" w:type="dxa"/>
            <w:gridSpan w:val="2"/>
          </w:tcPr>
          <w:p w14:paraId="2378F3FB">
            <w:pPr>
              <w:rPr>
                <w:rFonts w:hint="eastAsia"/>
              </w:rPr>
            </w:pPr>
          </w:p>
        </w:tc>
        <w:tc>
          <w:tcPr>
            <w:tcW w:w="8642" w:type="dxa"/>
            <w:gridSpan w:val="6"/>
          </w:tcPr>
          <w:p w14:paraId="102FD42F">
            <w:pPr>
              <w:rPr>
                <w:rFonts w:hint="eastAsia"/>
                <w:color w:val="000000"/>
                <w:szCs w:val="21"/>
              </w:rPr>
            </w:pPr>
            <w:r>
              <w:rPr>
                <w:rFonts w:hint="eastAsia"/>
              </w:rPr>
              <w:t>总计（即：投标总价；币种：人民币；单位：元）</w:t>
            </w:r>
            <w:r>
              <w:rPr>
                <w:rFonts w:hint="eastAsia"/>
                <w:u w:val="single"/>
              </w:rPr>
              <w:t xml:space="preserve">          </w:t>
            </w:r>
            <w:r>
              <w:rPr>
                <w:rFonts w:hint="eastAsia"/>
              </w:rPr>
              <w:t>元</w:t>
            </w:r>
          </w:p>
        </w:tc>
      </w:tr>
      <w:bookmarkEnd w:id="165"/>
    </w:tbl>
    <w:p w14:paraId="57584BD6">
      <w:pPr>
        <w:rPr>
          <w:rFonts w:hint="eastAsia"/>
        </w:rPr>
      </w:pPr>
    </w:p>
    <w:p w14:paraId="3C97E101">
      <w:pPr>
        <w:rPr>
          <w:rFonts w:hint="eastAsia"/>
        </w:rPr>
      </w:pPr>
    </w:p>
    <w:p w14:paraId="7E541E00">
      <w:pPr>
        <w:rPr>
          <w:rFonts w:hint="eastAsia"/>
        </w:rPr>
      </w:pPr>
    </w:p>
    <w:p w14:paraId="04234D6E">
      <w:pPr>
        <w:rPr>
          <w:rFonts w:hint="eastAsia"/>
        </w:rPr>
      </w:pPr>
    </w:p>
    <w:p w14:paraId="097A2A10">
      <w:pPr>
        <w:wordWrap w:val="0"/>
        <w:spacing w:before="120" w:after="120"/>
        <w:jc w:val="right"/>
        <w:rPr>
          <w:rFonts w:hint="eastAsia"/>
          <w:color w:val="000000"/>
          <w:u w:val="single"/>
        </w:rPr>
      </w:pPr>
      <w:r>
        <w:rPr>
          <w:rFonts w:hint="eastAsia"/>
          <w:color w:val="000000"/>
        </w:rPr>
        <w:t xml:space="preserve">投标人代表签字：       </w:t>
      </w:r>
    </w:p>
    <w:p w14:paraId="07CD9F3C">
      <w:pPr>
        <w:wordWrap w:val="0"/>
        <w:spacing w:before="120" w:after="120"/>
        <w:jc w:val="right"/>
        <w:rPr>
          <w:rFonts w:hint="eastAsia"/>
          <w:color w:val="000000"/>
        </w:rPr>
      </w:pPr>
      <w:r>
        <w:rPr>
          <w:rFonts w:hint="eastAsia"/>
          <w:color w:val="000000"/>
        </w:rPr>
        <w:t xml:space="preserve">投标人名称（盖章）：       </w:t>
      </w:r>
    </w:p>
    <w:p w14:paraId="2CA6AE04">
      <w:pPr>
        <w:wordWrap w:val="0"/>
        <w:spacing w:before="120" w:after="120"/>
        <w:jc w:val="center"/>
        <w:rPr>
          <w:rFonts w:hint="eastAsia"/>
          <w:color w:val="000000"/>
        </w:rPr>
      </w:pPr>
      <w:r>
        <w:rPr>
          <w:rFonts w:hint="eastAsia"/>
          <w:color w:val="000000"/>
          <w:lang w:val="en-US" w:eastAsia="zh-CN"/>
        </w:rPr>
        <w:t xml:space="preserve">                                          </w:t>
      </w:r>
      <w:r>
        <w:rPr>
          <w:rFonts w:hint="eastAsia"/>
          <w:color w:val="000000"/>
        </w:rPr>
        <w:t xml:space="preserve">日期：    </w:t>
      </w:r>
    </w:p>
    <w:p w14:paraId="17108303">
      <w:pPr>
        <w:jc w:val="both"/>
        <w:rPr>
          <w:rFonts w:hint="eastAsia"/>
          <w:b/>
          <w:bCs/>
          <w:lang w:val="en-US" w:eastAsia="zh-CN"/>
        </w:rPr>
      </w:pPr>
      <w:bookmarkStart w:id="167" w:name="OLE_LINK13"/>
    </w:p>
    <w:p w14:paraId="251C8CCB">
      <w:pPr>
        <w:jc w:val="both"/>
        <w:rPr>
          <w:rFonts w:hint="eastAsia"/>
          <w:b/>
          <w:bCs/>
          <w:lang w:val="en-US" w:eastAsia="zh-CN"/>
        </w:rPr>
      </w:pPr>
    </w:p>
    <w:p w14:paraId="3AE256B6">
      <w:pPr>
        <w:jc w:val="both"/>
        <w:rPr>
          <w:rFonts w:hint="eastAsia"/>
          <w:b/>
          <w:bCs/>
          <w:lang w:val="en-US" w:eastAsia="zh-CN"/>
        </w:rPr>
      </w:pPr>
    </w:p>
    <w:p w14:paraId="03140EAD">
      <w:pPr>
        <w:jc w:val="both"/>
        <w:rPr>
          <w:rFonts w:hint="eastAsia"/>
          <w:b/>
          <w:bCs/>
          <w:lang w:val="en-US" w:eastAsia="zh-CN"/>
        </w:rPr>
      </w:pPr>
    </w:p>
    <w:p w14:paraId="415FD804">
      <w:pPr>
        <w:jc w:val="both"/>
        <w:rPr>
          <w:rFonts w:hint="eastAsia"/>
          <w:b/>
          <w:bCs/>
          <w:lang w:val="en-US" w:eastAsia="zh-CN"/>
        </w:rPr>
      </w:pPr>
    </w:p>
    <w:p w14:paraId="0AA3722D">
      <w:pPr>
        <w:jc w:val="both"/>
        <w:rPr>
          <w:rFonts w:hint="eastAsia"/>
          <w:b/>
          <w:bCs/>
          <w:lang w:val="en-US" w:eastAsia="zh-CN"/>
        </w:rPr>
      </w:pPr>
    </w:p>
    <w:p w14:paraId="7875D5F5">
      <w:pPr>
        <w:jc w:val="both"/>
        <w:rPr>
          <w:rFonts w:hint="eastAsia"/>
          <w:b/>
          <w:bCs/>
          <w:lang w:val="en-US" w:eastAsia="zh-CN"/>
        </w:rPr>
      </w:pPr>
    </w:p>
    <w:p w14:paraId="6C5E0245">
      <w:pPr>
        <w:jc w:val="both"/>
        <w:rPr>
          <w:rFonts w:hint="eastAsia"/>
          <w:b/>
          <w:bCs/>
          <w:lang w:val="en-US" w:eastAsia="zh-CN"/>
        </w:rPr>
      </w:pPr>
    </w:p>
    <w:p w14:paraId="064FF36E">
      <w:pPr>
        <w:jc w:val="both"/>
        <w:rPr>
          <w:rFonts w:hint="eastAsia"/>
          <w:b/>
          <w:bCs/>
          <w:lang w:val="en-US" w:eastAsia="zh-CN"/>
        </w:rPr>
      </w:pPr>
    </w:p>
    <w:p w14:paraId="5C21FA5F">
      <w:pPr>
        <w:jc w:val="both"/>
        <w:rPr>
          <w:rFonts w:hint="eastAsia"/>
          <w:b/>
          <w:bCs/>
          <w:lang w:val="en-US" w:eastAsia="zh-CN"/>
        </w:rPr>
      </w:pPr>
    </w:p>
    <w:p w14:paraId="21D8F495">
      <w:pPr>
        <w:jc w:val="both"/>
        <w:rPr>
          <w:rFonts w:hint="eastAsia"/>
          <w:b/>
          <w:bCs/>
          <w:lang w:val="en-US" w:eastAsia="zh-CN"/>
        </w:rPr>
      </w:pPr>
    </w:p>
    <w:p w14:paraId="0B3AE347">
      <w:pPr>
        <w:jc w:val="both"/>
        <w:rPr>
          <w:rFonts w:hint="eastAsia"/>
          <w:b/>
          <w:bCs/>
          <w:lang w:val="en-US" w:eastAsia="zh-CN"/>
        </w:rPr>
      </w:pPr>
    </w:p>
    <w:p w14:paraId="1918887E">
      <w:pPr>
        <w:jc w:val="both"/>
        <w:rPr>
          <w:rFonts w:hint="eastAsia"/>
          <w:b/>
          <w:bCs/>
          <w:lang w:val="en-US" w:eastAsia="zh-CN"/>
        </w:rPr>
      </w:pPr>
    </w:p>
    <w:p w14:paraId="6B26A817">
      <w:pPr>
        <w:jc w:val="both"/>
        <w:rPr>
          <w:rFonts w:hint="eastAsia"/>
          <w:b/>
          <w:bCs/>
          <w:lang w:val="en-US" w:eastAsia="zh-CN"/>
        </w:rPr>
      </w:pPr>
    </w:p>
    <w:p w14:paraId="59B822ED">
      <w:pPr>
        <w:jc w:val="both"/>
        <w:rPr>
          <w:rFonts w:hint="eastAsia"/>
          <w:b/>
          <w:bCs/>
          <w:lang w:val="en-US" w:eastAsia="zh-CN"/>
        </w:rPr>
      </w:pPr>
    </w:p>
    <w:p w14:paraId="0EB37C57">
      <w:pPr>
        <w:jc w:val="both"/>
        <w:rPr>
          <w:rFonts w:hint="eastAsia"/>
          <w:b/>
          <w:bCs/>
          <w:lang w:val="en-US" w:eastAsia="zh-CN"/>
        </w:rPr>
      </w:pPr>
    </w:p>
    <w:p w14:paraId="36ADFFD4">
      <w:pPr>
        <w:jc w:val="both"/>
        <w:rPr>
          <w:rFonts w:hint="eastAsia"/>
          <w:b/>
          <w:bCs/>
          <w:lang w:val="en-US" w:eastAsia="zh-CN"/>
        </w:rPr>
      </w:pPr>
    </w:p>
    <w:p w14:paraId="1C3A2787">
      <w:pPr>
        <w:jc w:val="both"/>
        <w:rPr>
          <w:rFonts w:hint="eastAsia"/>
          <w:b/>
          <w:bCs/>
          <w:lang w:val="en-US" w:eastAsia="zh-CN"/>
        </w:rPr>
      </w:pPr>
    </w:p>
    <w:p w14:paraId="35B52F49">
      <w:pPr>
        <w:jc w:val="both"/>
        <w:rPr>
          <w:rFonts w:hint="eastAsia"/>
          <w:b/>
          <w:bCs/>
          <w:lang w:val="en-US" w:eastAsia="zh-CN"/>
        </w:rPr>
      </w:pPr>
    </w:p>
    <w:p w14:paraId="7650CBC2">
      <w:pPr>
        <w:jc w:val="both"/>
        <w:rPr>
          <w:rFonts w:hint="eastAsia"/>
          <w:b/>
          <w:bCs/>
          <w:lang w:val="en-US" w:eastAsia="zh-CN"/>
        </w:rPr>
      </w:pPr>
    </w:p>
    <w:p w14:paraId="5AAB02AD">
      <w:pPr>
        <w:jc w:val="both"/>
        <w:rPr>
          <w:rFonts w:hint="eastAsia"/>
          <w:b/>
          <w:bCs/>
          <w:lang w:val="en-US" w:eastAsia="zh-CN"/>
        </w:rPr>
      </w:pPr>
    </w:p>
    <w:p w14:paraId="7E7E62E6">
      <w:pPr>
        <w:jc w:val="both"/>
        <w:rPr>
          <w:rFonts w:hint="eastAsia"/>
          <w:b/>
          <w:bCs/>
          <w:lang w:val="en-US" w:eastAsia="zh-CN"/>
        </w:rPr>
      </w:pPr>
    </w:p>
    <w:p w14:paraId="231B8F8E">
      <w:pPr>
        <w:jc w:val="both"/>
        <w:rPr>
          <w:rFonts w:hint="eastAsia"/>
          <w:b/>
          <w:bCs/>
          <w:lang w:val="en-US" w:eastAsia="zh-CN"/>
        </w:rPr>
      </w:pPr>
    </w:p>
    <w:p w14:paraId="4A1F4B46">
      <w:pPr>
        <w:pStyle w:val="3"/>
        <w:rPr>
          <w:rFonts w:hint="eastAsia"/>
        </w:rPr>
      </w:pPr>
      <w:r>
        <w:rPr>
          <w:rFonts w:hint="eastAsia"/>
          <w:lang w:val="en-US" w:eastAsia="zh-CN"/>
        </w:rPr>
        <w:t>投标保证金缴纳回执单</w:t>
      </w:r>
    </w:p>
    <w:p w14:paraId="356E3652">
      <w:pPr>
        <w:pStyle w:val="3"/>
        <w:rPr>
          <w:rFonts w:hint="eastAsia"/>
          <w:b/>
          <w:bCs/>
        </w:rPr>
      </w:pPr>
      <w:r>
        <w:rPr>
          <w:rFonts w:hint="eastAsia"/>
          <w:b/>
          <w:bCs/>
          <w:lang w:val="en-US" w:eastAsia="zh-CN"/>
        </w:rPr>
        <w:t>技术规格偏离</w:t>
      </w:r>
      <w:r>
        <w:rPr>
          <w:rFonts w:hint="eastAsia"/>
          <w:b/>
          <w:bCs/>
        </w:rPr>
        <w:t>表</w:t>
      </w:r>
    </w:p>
    <w:bookmarkEnd w:id="167"/>
    <w:tbl>
      <w:tblPr>
        <w:tblStyle w:val="33"/>
        <w:tblpPr w:leftFromText="180" w:rightFromText="180" w:vertAnchor="text" w:horzAnchor="page" w:tblpX="1313" w:tblpY="364"/>
        <w:tblOverlap w:val="never"/>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135"/>
        <w:gridCol w:w="1594"/>
        <w:gridCol w:w="1593"/>
        <w:gridCol w:w="1593"/>
        <w:gridCol w:w="1594"/>
      </w:tblGrid>
      <w:tr w14:paraId="3A46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1047" w:type="dxa"/>
            <w:vAlign w:val="center"/>
          </w:tcPr>
          <w:p w14:paraId="3BEEE415">
            <w:pPr>
              <w:jc w:val="center"/>
              <w:rPr>
                <w:rFonts w:hint="eastAsia"/>
                <w:szCs w:val="21"/>
              </w:rPr>
            </w:pPr>
            <w:bookmarkStart w:id="168" w:name="OLE_LINK12"/>
            <w:r>
              <w:rPr>
                <w:rFonts w:hint="eastAsia" w:asciiTheme="majorEastAsia" w:hAnsiTheme="majorEastAsia" w:eastAsiaTheme="majorEastAsia" w:cstheme="majorEastAsia"/>
                <w:kern w:val="0"/>
                <w:sz w:val="24"/>
                <w:szCs w:val="24"/>
                <w:lang w:eastAsia="zh-CN"/>
              </w:rPr>
              <w:t>序号</w:t>
            </w:r>
          </w:p>
        </w:tc>
        <w:tc>
          <w:tcPr>
            <w:tcW w:w="2135" w:type="dxa"/>
            <w:vAlign w:val="center"/>
          </w:tcPr>
          <w:p w14:paraId="3571EA1D">
            <w:pPr>
              <w:jc w:val="center"/>
              <w:rPr>
                <w:rFonts w:hint="eastAsia"/>
                <w:szCs w:val="21"/>
              </w:rPr>
            </w:pPr>
            <w:r>
              <w:rPr>
                <w:rFonts w:hint="eastAsia" w:asciiTheme="majorEastAsia" w:hAnsiTheme="majorEastAsia" w:eastAsiaTheme="majorEastAsia" w:cstheme="majorEastAsia"/>
                <w:kern w:val="0"/>
                <w:sz w:val="24"/>
                <w:szCs w:val="24"/>
                <w:lang w:eastAsia="zh-CN"/>
              </w:rPr>
              <w:t>谈判</w:t>
            </w:r>
            <w:r>
              <w:rPr>
                <w:rFonts w:hint="eastAsia" w:asciiTheme="majorEastAsia" w:hAnsiTheme="majorEastAsia" w:eastAsiaTheme="majorEastAsia" w:cstheme="majorEastAsia"/>
                <w:kern w:val="0"/>
                <w:sz w:val="24"/>
                <w:szCs w:val="24"/>
              </w:rPr>
              <w:t>文件条款号</w:t>
            </w:r>
          </w:p>
        </w:tc>
        <w:tc>
          <w:tcPr>
            <w:tcW w:w="1594" w:type="dxa"/>
            <w:vAlign w:val="center"/>
          </w:tcPr>
          <w:p w14:paraId="0ED91EAE">
            <w:pPr>
              <w:jc w:val="center"/>
              <w:rPr>
                <w:rFonts w:hint="eastAsia"/>
                <w:szCs w:val="21"/>
              </w:rPr>
            </w:pPr>
            <w:r>
              <w:rPr>
                <w:rFonts w:hint="eastAsia" w:asciiTheme="majorEastAsia" w:hAnsiTheme="majorEastAsia" w:eastAsiaTheme="majorEastAsia" w:cstheme="majorEastAsia"/>
                <w:kern w:val="0"/>
                <w:sz w:val="24"/>
                <w:szCs w:val="24"/>
                <w:lang w:eastAsia="zh-CN"/>
              </w:rPr>
              <w:t>谈判文件的</w:t>
            </w:r>
            <w:r>
              <w:rPr>
                <w:rFonts w:hint="eastAsia" w:asciiTheme="majorEastAsia" w:hAnsiTheme="majorEastAsia" w:eastAsiaTheme="majorEastAsia" w:cstheme="majorEastAsia"/>
                <w:kern w:val="0"/>
                <w:sz w:val="24"/>
                <w:szCs w:val="24"/>
                <w:lang w:val="en-US" w:eastAsia="zh-CN"/>
              </w:rPr>
              <w:t>技术</w:t>
            </w:r>
            <w:r>
              <w:rPr>
                <w:rFonts w:hint="eastAsia" w:asciiTheme="majorEastAsia" w:hAnsiTheme="majorEastAsia" w:eastAsiaTheme="majorEastAsia" w:cstheme="majorEastAsia"/>
                <w:kern w:val="0"/>
                <w:sz w:val="24"/>
                <w:szCs w:val="24"/>
                <w:lang w:eastAsia="zh-CN"/>
              </w:rPr>
              <w:t>条款</w:t>
            </w:r>
          </w:p>
        </w:tc>
        <w:tc>
          <w:tcPr>
            <w:tcW w:w="1593" w:type="dxa"/>
          </w:tcPr>
          <w:p w14:paraId="19F5AB28">
            <w:pPr>
              <w:jc w:val="center"/>
              <w:rPr>
                <w:rFonts w:hint="eastAsia" w:asciiTheme="majorEastAsia" w:hAnsiTheme="majorEastAsia" w:eastAsiaTheme="majorEastAsia" w:cstheme="majorEastAsia"/>
                <w:kern w:val="0"/>
                <w:sz w:val="24"/>
                <w:szCs w:val="24"/>
                <w:lang w:eastAsia="zh-CN"/>
              </w:rPr>
            </w:pPr>
          </w:p>
          <w:p w14:paraId="045E3C29">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投标文件的</w:t>
            </w:r>
            <w:r>
              <w:rPr>
                <w:rFonts w:hint="eastAsia" w:asciiTheme="majorEastAsia" w:hAnsiTheme="majorEastAsia" w:eastAsiaTheme="majorEastAsia" w:cstheme="majorEastAsia"/>
                <w:kern w:val="0"/>
                <w:sz w:val="24"/>
                <w:szCs w:val="24"/>
                <w:lang w:val="en-US" w:eastAsia="zh-CN"/>
              </w:rPr>
              <w:t>技术</w:t>
            </w:r>
            <w:r>
              <w:rPr>
                <w:rFonts w:hint="eastAsia" w:asciiTheme="majorEastAsia" w:hAnsiTheme="majorEastAsia" w:eastAsiaTheme="majorEastAsia" w:cstheme="majorEastAsia"/>
                <w:kern w:val="0"/>
                <w:sz w:val="24"/>
                <w:szCs w:val="24"/>
                <w:lang w:eastAsia="zh-CN"/>
              </w:rPr>
              <w:t>条款</w:t>
            </w:r>
          </w:p>
        </w:tc>
        <w:tc>
          <w:tcPr>
            <w:tcW w:w="1593" w:type="dxa"/>
            <w:vAlign w:val="center"/>
          </w:tcPr>
          <w:p w14:paraId="6C7040C0">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偏离</w:t>
            </w:r>
          </w:p>
        </w:tc>
        <w:tc>
          <w:tcPr>
            <w:tcW w:w="1594" w:type="dxa"/>
            <w:vAlign w:val="center"/>
          </w:tcPr>
          <w:p w14:paraId="598FCE93">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说明</w:t>
            </w:r>
          </w:p>
        </w:tc>
      </w:tr>
      <w:tr w14:paraId="211A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7D788CAE">
            <w:pPr>
              <w:jc w:val="center"/>
              <w:rPr>
                <w:rFonts w:hint="eastAsia"/>
              </w:rPr>
            </w:pPr>
            <w:r>
              <w:rPr>
                <w:rFonts w:hint="eastAsia"/>
              </w:rPr>
              <w:t>1</w:t>
            </w:r>
          </w:p>
        </w:tc>
        <w:tc>
          <w:tcPr>
            <w:tcW w:w="2135" w:type="dxa"/>
            <w:vAlign w:val="center"/>
          </w:tcPr>
          <w:p w14:paraId="6C242608">
            <w:pPr>
              <w:rPr>
                <w:rFonts w:hint="eastAsia"/>
                <w:bCs/>
                <w:szCs w:val="21"/>
              </w:rPr>
            </w:pPr>
          </w:p>
        </w:tc>
        <w:tc>
          <w:tcPr>
            <w:tcW w:w="1594" w:type="dxa"/>
            <w:vAlign w:val="center"/>
          </w:tcPr>
          <w:p w14:paraId="1E34C0E1">
            <w:pPr>
              <w:jc w:val="center"/>
              <w:rPr>
                <w:rFonts w:hint="eastAsia"/>
                <w:szCs w:val="21"/>
              </w:rPr>
            </w:pPr>
          </w:p>
        </w:tc>
        <w:tc>
          <w:tcPr>
            <w:tcW w:w="1593" w:type="dxa"/>
          </w:tcPr>
          <w:p w14:paraId="42C1D2C5">
            <w:pPr>
              <w:jc w:val="center"/>
              <w:rPr>
                <w:rFonts w:hint="eastAsia"/>
                <w:bCs/>
                <w:szCs w:val="21"/>
              </w:rPr>
            </w:pPr>
          </w:p>
        </w:tc>
        <w:tc>
          <w:tcPr>
            <w:tcW w:w="1593" w:type="dxa"/>
            <w:vAlign w:val="center"/>
          </w:tcPr>
          <w:p w14:paraId="7076BC04">
            <w:pPr>
              <w:jc w:val="center"/>
              <w:rPr>
                <w:rFonts w:hint="eastAsia"/>
                <w:bCs/>
                <w:szCs w:val="21"/>
              </w:rPr>
            </w:pPr>
          </w:p>
        </w:tc>
        <w:tc>
          <w:tcPr>
            <w:tcW w:w="1594" w:type="dxa"/>
            <w:vAlign w:val="center"/>
          </w:tcPr>
          <w:p w14:paraId="1A0065A7">
            <w:pPr>
              <w:jc w:val="center"/>
              <w:rPr>
                <w:rFonts w:hint="eastAsia"/>
                <w:color w:val="000000"/>
                <w:szCs w:val="21"/>
              </w:rPr>
            </w:pPr>
          </w:p>
        </w:tc>
      </w:tr>
      <w:tr w14:paraId="0A25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104F4284">
            <w:pPr>
              <w:jc w:val="center"/>
              <w:rPr>
                <w:rFonts w:hint="eastAsia"/>
              </w:rPr>
            </w:pPr>
            <w:r>
              <w:rPr>
                <w:rFonts w:hint="eastAsia"/>
              </w:rPr>
              <w:t>2</w:t>
            </w:r>
          </w:p>
        </w:tc>
        <w:tc>
          <w:tcPr>
            <w:tcW w:w="2135" w:type="dxa"/>
            <w:vAlign w:val="center"/>
          </w:tcPr>
          <w:p w14:paraId="6304FCC2">
            <w:pPr>
              <w:rPr>
                <w:rFonts w:hint="eastAsia"/>
                <w:bCs/>
                <w:szCs w:val="21"/>
              </w:rPr>
            </w:pPr>
          </w:p>
        </w:tc>
        <w:tc>
          <w:tcPr>
            <w:tcW w:w="1594" w:type="dxa"/>
            <w:vAlign w:val="center"/>
          </w:tcPr>
          <w:p w14:paraId="5195ADD5">
            <w:pPr>
              <w:jc w:val="center"/>
              <w:rPr>
                <w:rFonts w:hint="eastAsia"/>
                <w:szCs w:val="21"/>
              </w:rPr>
            </w:pPr>
          </w:p>
        </w:tc>
        <w:tc>
          <w:tcPr>
            <w:tcW w:w="1593" w:type="dxa"/>
          </w:tcPr>
          <w:p w14:paraId="517E4994">
            <w:pPr>
              <w:jc w:val="center"/>
              <w:rPr>
                <w:rFonts w:hint="eastAsia"/>
                <w:bCs/>
                <w:szCs w:val="21"/>
              </w:rPr>
            </w:pPr>
          </w:p>
        </w:tc>
        <w:tc>
          <w:tcPr>
            <w:tcW w:w="1593" w:type="dxa"/>
            <w:vAlign w:val="center"/>
          </w:tcPr>
          <w:p w14:paraId="2A0AA581">
            <w:pPr>
              <w:jc w:val="center"/>
              <w:rPr>
                <w:rFonts w:hint="eastAsia"/>
                <w:bCs/>
                <w:szCs w:val="21"/>
              </w:rPr>
            </w:pPr>
          </w:p>
        </w:tc>
        <w:tc>
          <w:tcPr>
            <w:tcW w:w="1594" w:type="dxa"/>
            <w:vAlign w:val="center"/>
          </w:tcPr>
          <w:p w14:paraId="282E9886">
            <w:pPr>
              <w:jc w:val="center"/>
              <w:rPr>
                <w:rFonts w:hint="eastAsia"/>
                <w:color w:val="000000"/>
                <w:szCs w:val="21"/>
              </w:rPr>
            </w:pPr>
          </w:p>
        </w:tc>
      </w:tr>
      <w:tr w14:paraId="7740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34D47669">
            <w:pPr>
              <w:jc w:val="center"/>
              <w:rPr>
                <w:rFonts w:hint="eastAsia"/>
              </w:rPr>
            </w:pPr>
            <w:r>
              <w:rPr>
                <w:rFonts w:hint="eastAsia"/>
              </w:rPr>
              <w:t>3</w:t>
            </w:r>
          </w:p>
        </w:tc>
        <w:tc>
          <w:tcPr>
            <w:tcW w:w="2135" w:type="dxa"/>
            <w:vAlign w:val="center"/>
          </w:tcPr>
          <w:p w14:paraId="1F75CD1F">
            <w:pPr>
              <w:rPr>
                <w:rFonts w:hint="eastAsia"/>
                <w:bCs/>
                <w:szCs w:val="21"/>
              </w:rPr>
            </w:pPr>
          </w:p>
        </w:tc>
        <w:tc>
          <w:tcPr>
            <w:tcW w:w="1594" w:type="dxa"/>
            <w:vAlign w:val="center"/>
          </w:tcPr>
          <w:p w14:paraId="3058D34D">
            <w:pPr>
              <w:jc w:val="center"/>
              <w:rPr>
                <w:rFonts w:hint="eastAsia"/>
                <w:szCs w:val="21"/>
              </w:rPr>
            </w:pPr>
          </w:p>
        </w:tc>
        <w:tc>
          <w:tcPr>
            <w:tcW w:w="1593" w:type="dxa"/>
          </w:tcPr>
          <w:p w14:paraId="5DB4BA56">
            <w:pPr>
              <w:jc w:val="center"/>
              <w:rPr>
                <w:rFonts w:hint="eastAsia"/>
                <w:bCs/>
                <w:szCs w:val="21"/>
              </w:rPr>
            </w:pPr>
          </w:p>
        </w:tc>
        <w:tc>
          <w:tcPr>
            <w:tcW w:w="1593" w:type="dxa"/>
            <w:vAlign w:val="center"/>
          </w:tcPr>
          <w:p w14:paraId="79744B2F">
            <w:pPr>
              <w:jc w:val="center"/>
              <w:rPr>
                <w:rFonts w:hint="eastAsia"/>
                <w:bCs/>
                <w:szCs w:val="21"/>
              </w:rPr>
            </w:pPr>
          </w:p>
        </w:tc>
        <w:tc>
          <w:tcPr>
            <w:tcW w:w="1594" w:type="dxa"/>
            <w:vAlign w:val="center"/>
          </w:tcPr>
          <w:p w14:paraId="075282B9">
            <w:pPr>
              <w:jc w:val="center"/>
              <w:rPr>
                <w:rFonts w:hint="eastAsia"/>
                <w:color w:val="000000"/>
                <w:szCs w:val="21"/>
              </w:rPr>
            </w:pPr>
          </w:p>
        </w:tc>
      </w:tr>
      <w:tr w14:paraId="1AB6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4FC28723">
            <w:pPr>
              <w:jc w:val="center"/>
              <w:rPr>
                <w:rFonts w:hint="eastAsia"/>
              </w:rPr>
            </w:pPr>
            <w:r>
              <w:rPr>
                <w:rFonts w:hint="eastAsia"/>
              </w:rPr>
              <w:t>4</w:t>
            </w:r>
          </w:p>
        </w:tc>
        <w:tc>
          <w:tcPr>
            <w:tcW w:w="2135" w:type="dxa"/>
            <w:vAlign w:val="center"/>
          </w:tcPr>
          <w:p w14:paraId="0B9B5E7C">
            <w:pPr>
              <w:rPr>
                <w:rFonts w:hint="eastAsia"/>
                <w:bCs/>
                <w:szCs w:val="21"/>
              </w:rPr>
            </w:pPr>
          </w:p>
        </w:tc>
        <w:tc>
          <w:tcPr>
            <w:tcW w:w="1594" w:type="dxa"/>
            <w:vAlign w:val="center"/>
          </w:tcPr>
          <w:p w14:paraId="2E00C9FF">
            <w:pPr>
              <w:jc w:val="center"/>
              <w:rPr>
                <w:rFonts w:hint="eastAsia"/>
                <w:szCs w:val="21"/>
              </w:rPr>
            </w:pPr>
          </w:p>
        </w:tc>
        <w:tc>
          <w:tcPr>
            <w:tcW w:w="1593" w:type="dxa"/>
          </w:tcPr>
          <w:p w14:paraId="52119C14">
            <w:pPr>
              <w:jc w:val="center"/>
              <w:rPr>
                <w:rFonts w:hint="eastAsia"/>
                <w:bCs/>
                <w:szCs w:val="21"/>
              </w:rPr>
            </w:pPr>
          </w:p>
        </w:tc>
        <w:tc>
          <w:tcPr>
            <w:tcW w:w="1593" w:type="dxa"/>
            <w:vAlign w:val="center"/>
          </w:tcPr>
          <w:p w14:paraId="12FC7E37">
            <w:pPr>
              <w:jc w:val="center"/>
              <w:rPr>
                <w:rFonts w:hint="eastAsia"/>
                <w:bCs/>
                <w:szCs w:val="21"/>
              </w:rPr>
            </w:pPr>
          </w:p>
        </w:tc>
        <w:tc>
          <w:tcPr>
            <w:tcW w:w="1594" w:type="dxa"/>
            <w:vAlign w:val="center"/>
          </w:tcPr>
          <w:p w14:paraId="0CE661FC">
            <w:pPr>
              <w:jc w:val="center"/>
              <w:rPr>
                <w:rFonts w:hint="eastAsia"/>
                <w:color w:val="000000"/>
                <w:szCs w:val="21"/>
              </w:rPr>
            </w:pPr>
          </w:p>
        </w:tc>
      </w:tr>
      <w:tr w14:paraId="214B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675F7488">
            <w:pPr>
              <w:jc w:val="center"/>
              <w:rPr>
                <w:rFonts w:hint="eastAsia"/>
              </w:rPr>
            </w:pPr>
            <w:r>
              <w:rPr>
                <w:rFonts w:hint="eastAsia"/>
              </w:rPr>
              <w:t>5</w:t>
            </w:r>
          </w:p>
        </w:tc>
        <w:tc>
          <w:tcPr>
            <w:tcW w:w="2135" w:type="dxa"/>
            <w:vAlign w:val="center"/>
          </w:tcPr>
          <w:p w14:paraId="40340E45">
            <w:pPr>
              <w:rPr>
                <w:rFonts w:hint="eastAsia"/>
                <w:bCs/>
                <w:szCs w:val="21"/>
              </w:rPr>
            </w:pPr>
          </w:p>
        </w:tc>
        <w:tc>
          <w:tcPr>
            <w:tcW w:w="1594" w:type="dxa"/>
            <w:vAlign w:val="center"/>
          </w:tcPr>
          <w:p w14:paraId="5AC51728">
            <w:pPr>
              <w:jc w:val="center"/>
              <w:rPr>
                <w:rFonts w:hint="eastAsia"/>
                <w:szCs w:val="21"/>
              </w:rPr>
            </w:pPr>
          </w:p>
        </w:tc>
        <w:tc>
          <w:tcPr>
            <w:tcW w:w="1593" w:type="dxa"/>
          </w:tcPr>
          <w:p w14:paraId="489832F4">
            <w:pPr>
              <w:jc w:val="center"/>
              <w:rPr>
                <w:rFonts w:hint="eastAsia"/>
                <w:bCs/>
                <w:szCs w:val="21"/>
              </w:rPr>
            </w:pPr>
          </w:p>
        </w:tc>
        <w:tc>
          <w:tcPr>
            <w:tcW w:w="1593" w:type="dxa"/>
            <w:vAlign w:val="center"/>
          </w:tcPr>
          <w:p w14:paraId="7310FC94">
            <w:pPr>
              <w:jc w:val="center"/>
              <w:rPr>
                <w:rFonts w:hint="eastAsia"/>
                <w:bCs/>
                <w:szCs w:val="21"/>
              </w:rPr>
            </w:pPr>
          </w:p>
        </w:tc>
        <w:tc>
          <w:tcPr>
            <w:tcW w:w="1594" w:type="dxa"/>
            <w:vAlign w:val="center"/>
          </w:tcPr>
          <w:p w14:paraId="743B7CBE">
            <w:pPr>
              <w:jc w:val="center"/>
              <w:rPr>
                <w:rFonts w:hint="eastAsia"/>
                <w:color w:val="000000"/>
                <w:szCs w:val="21"/>
              </w:rPr>
            </w:pPr>
          </w:p>
        </w:tc>
      </w:tr>
      <w:tr w14:paraId="37EF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7F1639D9">
            <w:pPr>
              <w:jc w:val="center"/>
              <w:rPr>
                <w:rFonts w:hint="eastAsia"/>
              </w:rPr>
            </w:pPr>
            <w:r>
              <w:rPr>
                <w:rFonts w:hint="eastAsia"/>
              </w:rPr>
              <w:t>6</w:t>
            </w:r>
          </w:p>
        </w:tc>
        <w:tc>
          <w:tcPr>
            <w:tcW w:w="2135" w:type="dxa"/>
            <w:vAlign w:val="center"/>
          </w:tcPr>
          <w:p w14:paraId="026888FF">
            <w:pPr>
              <w:rPr>
                <w:rFonts w:hint="eastAsia"/>
                <w:bCs/>
                <w:szCs w:val="21"/>
              </w:rPr>
            </w:pPr>
          </w:p>
        </w:tc>
        <w:tc>
          <w:tcPr>
            <w:tcW w:w="1594" w:type="dxa"/>
            <w:vAlign w:val="center"/>
          </w:tcPr>
          <w:p w14:paraId="4AC0ED2C">
            <w:pPr>
              <w:jc w:val="center"/>
              <w:rPr>
                <w:rFonts w:hint="eastAsia"/>
                <w:szCs w:val="21"/>
              </w:rPr>
            </w:pPr>
          </w:p>
        </w:tc>
        <w:tc>
          <w:tcPr>
            <w:tcW w:w="1593" w:type="dxa"/>
          </w:tcPr>
          <w:p w14:paraId="3C250B96">
            <w:pPr>
              <w:jc w:val="center"/>
              <w:rPr>
                <w:rFonts w:hint="eastAsia"/>
                <w:bCs/>
                <w:szCs w:val="21"/>
              </w:rPr>
            </w:pPr>
          </w:p>
        </w:tc>
        <w:tc>
          <w:tcPr>
            <w:tcW w:w="1593" w:type="dxa"/>
            <w:vAlign w:val="center"/>
          </w:tcPr>
          <w:p w14:paraId="2C1378E6">
            <w:pPr>
              <w:jc w:val="center"/>
              <w:rPr>
                <w:rFonts w:hint="eastAsia"/>
                <w:bCs/>
                <w:szCs w:val="21"/>
              </w:rPr>
            </w:pPr>
          </w:p>
        </w:tc>
        <w:tc>
          <w:tcPr>
            <w:tcW w:w="1594" w:type="dxa"/>
            <w:vAlign w:val="center"/>
          </w:tcPr>
          <w:p w14:paraId="01FD1E5A">
            <w:pPr>
              <w:jc w:val="center"/>
              <w:rPr>
                <w:rFonts w:hint="eastAsia"/>
                <w:color w:val="000000"/>
                <w:szCs w:val="21"/>
              </w:rPr>
            </w:pPr>
          </w:p>
        </w:tc>
      </w:tr>
      <w:tr w14:paraId="7973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662DB21B">
            <w:pPr>
              <w:jc w:val="center"/>
              <w:rPr>
                <w:rFonts w:hint="eastAsia"/>
              </w:rPr>
            </w:pPr>
            <w:r>
              <w:rPr>
                <w:rFonts w:hint="eastAsia"/>
              </w:rPr>
              <w:t>7</w:t>
            </w:r>
          </w:p>
        </w:tc>
        <w:tc>
          <w:tcPr>
            <w:tcW w:w="2135" w:type="dxa"/>
            <w:vAlign w:val="center"/>
          </w:tcPr>
          <w:p w14:paraId="47F8EBE8">
            <w:pPr>
              <w:rPr>
                <w:rFonts w:hint="eastAsia"/>
                <w:bCs/>
                <w:szCs w:val="21"/>
              </w:rPr>
            </w:pPr>
          </w:p>
        </w:tc>
        <w:tc>
          <w:tcPr>
            <w:tcW w:w="1594" w:type="dxa"/>
            <w:vAlign w:val="center"/>
          </w:tcPr>
          <w:p w14:paraId="602D7E23">
            <w:pPr>
              <w:jc w:val="center"/>
              <w:rPr>
                <w:rFonts w:hint="eastAsia"/>
                <w:szCs w:val="21"/>
              </w:rPr>
            </w:pPr>
          </w:p>
        </w:tc>
        <w:tc>
          <w:tcPr>
            <w:tcW w:w="1593" w:type="dxa"/>
          </w:tcPr>
          <w:p w14:paraId="66943530">
            <w:pPr>
              <w:jc w:val="center"/>
              <w:rPr>
                <w:rFonts w:hint="eastAsia"/>
                <w:bCs/>
                <w:szCs w:val="21"/>
              </w:rPr>
            </w:pPr>
          </w:p>
        </w:tc>
        <w:tc>
          <w:tcPr>
            <w:tcW w:w="1593" w:type="dxa"/>
            <w:vAlign w:val="center"/>
          </w:tcPr>
          <w:p w14:paraId="035CFBFA">
            <w:pPr>
              <w:jc w:val="center"/>
              <w:rPr>
                <w:rFonts w:hint="eastAsia"/>
                <w:bCs/>
                <w:szCs w:val="21"/>
              </w:rPr>
            </w:pPr>
          </w:p>
        </w:tc>
        <w:tc>
          <w:tcPr>
            <w:tcW w:w="1594" w:type="dxa"/>
            <w:vAlign w:val="center"/>
          </w:tcPr>
          <w:p w14:paraId="376DE3A6">
            <w:pPr>
              <w:jc w:val="center"/>
              <w:rPr>
                <w:rFonts w:hint="eastAsia"/>
                <w:color w:val="000000"/>
                <w:szCs w:val="21"/>
              </w:rPr>
            </w:pPr>
          </w:p>
        </w:tc>
      </w:tr>
      <w:tr w14:paraId="0409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3D63D640">
            <w:pPr>
              <w:jc w:val="center"/>
              <w:rPr>
                <w:rFonts w:hint="eastAsia"/>
              </w:rPr>
            </w:pPr>
            <w:r>
              <w:rPr>
                <w:rFonts w:hint="eastAsia"/>
              </w:rPr>
              <w:t>8</w:t>
            </w:r>
          </w:p>
        </w:tc>
        <w:tc>
          <w:tcPr>
            <w:tcW w:w="2135" w:type="dxa"/>
            <w:vAlign w:val="center"/>
          </w:tcPr>
          <w:p w14:paraId="6091ACEF">
            <w:pPr>
              <w:rPr>
                <w:rFonts w:hint="eastAsia"/>
                <w:bCs/>
                <w:szCs w:val="21"/>
              </w:rPr>
            </w:pPr>
          </w:p>
        </w:tc>
        <w:tc>
          <w:tcPr>
            <w:tcW w:w="1594" w:type="dxa"/>
            <w:vAlign w:val="center"/>
          </w:tcPr>
          <w:p w14:paraId="1379A4E9">
            <w:pPr>
              <w:jc w:val="center"/>
              <w:rPr>
                <w:rFonts w:hint="eastAsia"/>
                <w:szCs w:val="21"/>
              </w:rPr>
            </w:pPr>
          </w:p>
        </w:tc>
        <w:tc>
          <w:tcPr>
            <w:tcW w:w="1593" w:type="dxa"/>
          </w:tcPr>
          <w:p w14:paraId="378CD952">
            <w:pPr>
              <w:jc w:val="center"/>
              <w:rPr>
                <w:rFonts w:hint="eastAsia"/>
                <w:bCs/>
                <w:szCs w:val="21"/>
              </w:rPr>
            </w:pPr>
          </w:p>
        </w:tc>
        <w:tc>
          <w:tcPr>
            <w:tcW w:w="1593" w:type="dxa"/>
            <w:vAlign w:val="center"/>
          </w:tcPr>
          <w:p w14:paraId="4102992B">
            <w:pPr>
              <w:jc w:val="center"/>
              <w:rPr>
                <w:rFonts w:hint="eastAsia"/>
                <w:bCs/>
                <w:szCs w:val="21"/>
              </w:rPr>
            </w:pPr>
          </w:p>
        </w:tc>
        <w:tc>
          <w:tcPr>
            <w:tcW w:w="1594" w:type="dxa"/>
            <w:vAlign w:val="center"/>
          </w:tcPr>
          <w:p w14:paraId="1BF26991">
            <w:pPr>
              <w:jc w:val="center"/>
              <w:rPr>
                <w:rFonts w:hint="eastAsia"/>
                <w:color w:val="000000"/>
                <w:szCs w:val="21"/>
              </w:rPr>
            </w:pPr>
          </w:p>
        </w:tc>
      </w:tr>
      <w:bookmarkEnd w:id="168"/>
    </w:tbl>
    <w:p w14:paraId="60FF64D1">
      <w:pPr>
        <w:wordWrap w:val="0"/>
        <w:spacing w:before="120" w:after="120"/>
        <w:jc w:val="both"/>
        <w:rPr>
          <w:rFonts w:hint="eastAsia"/>
          <w:color w:val="000000"/>
        </w:rPr>
      </w:pPr>
      <w:r>
        <w:rPr>
          <w:rFonts w:hint="eastAsia" w:ascii="华文仿宋" w:hAnsi="华文仿宋" w:eastAsia="华文仿宋" w:cs="华文仿宋"/>
          <w:kern w:val="0"/>
          <w:sz w:val="24"/>
          <w:szCs w:val="24"/>
        </w:rPr>
        <w:t xml:space="preserve">投标单位（盖章）：                                 投标人签字： </w:t>
      </w:r>
    </w:p>
    <w:p w14:paraId="73FE14B9">
      <w:pPr>
        <w:wordWrap w:val="0"/>
        <w:spacing w:before="120" w:after="120"/>
        <w:jc w:val="right"/>
        <w:rPr>
          <w:rFonts w:hint="eastAsia"/>
          <w:color w:val="000000"/>
        </w:rPr>
      </w:pPr>
      <w:r>
        <w:rPr>
          <w:rFonts w:hint="eastAsia"/>
          <w:color w:val="000000"/>
        </w:rPr>
        <w:t xml:space="preserve">   </w:t>
      </w:r>
    </w:p>
    <w:p w14:paraId="5353573B">
      <w:pPr>
        <w:jc w:val="center"/>
        <w:rPr>
          <w:rFonts w:hint="eastAsia"/>
          <w:b/>
          <w:bCs/>
          <w:lang w:val="en-US" w:eastAsia="zh-CN"/>
        </w:rPr>
      </w:pPr>
    </w:p>
    <w:p w14:paraId="05FCB8CB">
      <w:pPr>
        <w:jc w:val="both"/>
        <w:rPr>
          <w:rFonts w:hint="eastAsia"/>
          <w:b/>
          <w:bCs/>
          <w:lang w:val="en-US" w:eastAsia="zh-CN"/>
        </w:rPr>
      </w:pPr>
    </w:p>
    <w:p w14:paraId="2144E93D">
      <w:pPr>
        <w:jc w:val="both"/>
        <w:rPr>
          <w:rFonts w:hint="eastAsia"/>
          <w:b/>
          <w:bCs/>
          <w:lang w:val="en-US" w:eastAsia="zh-CN"/>
        </w:rPr>
      </w:pPr>
    </w:p>
    <w:p w14:paraId="35491389">
      <w:pPr>
        <w:jc w:val="both"/>
        <w:rPr>
          <w:rFonts w:hint="eastAsia"/>
          <w:b/>
          <w:bCs/>
          <w:lang w:val="en-US" w:eastAsia="zh-CN"/>
        </w:rPr>
      </w:pPr>
    </w:p>
    <w:p w14:paraId="58CD4FDA">
      <w:pPr>
        <w:jc w:val="both"/>
        <w:rPr>
          <w:rFonts w:hint="eastAsia"/>
          <w:b/>
          <w:bCs/>
          <w:lang w:val="en-US" w:eastAsia="zh-CN"/>
        </w:rPr>
      </w:pPr>
    </w:p>
    <w:p w14:paraId="2F27E9F2">
      <w:pPr>
        <w:jc w:val="both"/>
        <w:rPr>
          <w:rFonts w:hint="eastAsia"/>
          <w:b/>
          <w:bCs/>
          <w:lang w:val="en-US" w:eastAsia="zh-CN"/>
        </w:rPr>
      </w:pPr>
    </w:p>
    <w:p w14:paraId="64E4593E">
      <w:pPr>
        <w:jc w:val="both"/>
        <w:rPr>
          <w:rFonts w:hint="eastAsia"/>
          <w:b/>
          <w:bCs/>
          <w:lang w:val="en-US" w:eastAsia="zh-CN"/>
        </w:rPr>
      </w:pPr>
    </w:p>
    <w:p w14:paraId="151A14A1">
      <w:pPr>
        <w:jc w:val="both"/>
        <w:rPr>
          <w:rFonts w:hint="eastAsia"/>
          <w:b/>
          <w:bCs/>
          <w:lang w:val="en-US" w:eastAsia="zh-CN"/>
        </w:rPr>
      </w:pPr>
    </w:p>
    <w:p w14:paraId="7ADAF363">
      <w:pPr>
        <w:jc w:val="both"/>
        <w:rPr>
          <w:rFonts w:hint="eastAsia"/>
          <w:b/>
          <w:bCs/>
          <w:lang w:val="en-US" w:eastAsia="zh-CN"/>
        </w:rPr>
      </w:pPr>
    </w:p>
    <w:p w14:paraId="456E2C44">
      <w:pPr>
        <w:jc w:val="both"/>
        <w:rPr>
          <w:rFonts w:hint="eastAsia"/>
          <w:b/>
          <w:bCs/>
          <w:lang w:val="en-US" w:eastAsia="zh-CN"/>
        </w:rPr>
      </w:pPr>
    </w:p>
    <w:p w14:paraId="69BEB0CD">
      <w:pPr>
        <w:jc w:val="both"/>
        <w:rPr>
          <w:rFonts w:hint="eastAsia"/>
          <w:b/>
          <w:bCs/>
          <w:lang w:val="en-US" w:eastAsia="zh-CN"/>
        </w:rPr>
      </w:pPr>
    </w:p>
    <w:p w14:paraId="6062B4BD">
      <w:pPr>
        <w:jc w:val="both"/>
        <w:rPr>
          <w:rFonts w:hint="eastAsia"/>
          <w:b/>
          <w:bCs/>
          <w:lang w:val="en-US" w:eastAsia="zh-CN"/>
        </w:rPr>
      </w:pPr>
    </w:p>
    <w:p w14:paraId="7650DC58">
      <w:pPr>
        <w:jc w:val="both"/>
        <w:rPr>
          <w:rFonts w:hint="eastAsia"/>
          <w:b/>
          <w:bCs/>
          <w:lang w:val="en-US" w:eastAsia="zh-CN"/>
        </w:rPr>
      </w:pPr>
    </w:p>
    <w:p w14:paraId="4EDFF8E2">
      <w:pPr>
        <w:jc w:val="both"/>
        <w:rPr>
          <w:rFonts w:hint="eastAsia"/>
          <w:b/>
          <w:bCs/>
          <w:lang w:val="en-US" w:eastAsia="zh-CN"/>
        </w:rPr>
      </w:pPr>
    </w:p>
    <w:p w14:paraId="0F015C45">
      <w:pPr>
        <w:jc w:val="both"/>
        <w:rPr>
          <w:rFonts w:hint="eastAsia"/>
          <w:b/>
          <w:bCs/>
          <w:lang w:val="en-US" w:eastAsia="zh-CN"/>
        </w:rPr>
      </w:pPr>
    </w:p>
    <w:p w14:paraId="25BB4D21">
      <w:pPr>
        <w:jc w:val="both"/>
        <w:rPr>
          <w:rFonts w:hint="eastAsia"/>
          <w:b/>
          <w:bCs/>
          <w:lang w:val="en-US" w:eastAsia="zh-CN"/>
        </w:rPr>
      </w:pPr>
    </w:p>
    <w:p w14:paraId="4B7BD00E">
      <w:pPr>
        <w:jc w:val="both"/>
        <w:rPr>
          <w:rFonts w:hint="eastAsia"/>
          <w:b/>
          <w:bCs/>
          <w:lang w:val="en-US" w:eastAsia="zh-CN"/>
        </w:rPr>
      </w:pPr>
    </w:p>
    <w:p w14:paraId="2ED886D2">
      <w:pPr>
        <w:jc w:val="both"/>
        <w:rPr>
          <w:rFonts w:hint="eastAsia"/>
          <w:b/>
          <w:bCs/>
          <w:lang w:val="en-US" w:eastAsia="zh-CN"/>
        </w:rPr>
      </w:pPr>
    </w:p>
    <w:p w14:paraId="2A17DBA5">
      <w:pPr>
        <w:jc w:val="both"/>
        <w:rPr>
          <w:rFonts w:hint="eastAsia"/>
          <w:b/>
          <w:bCs/>
          <w:lang w:val="en-US" w:eastAsia="zh-CN"/>
        </w:rPr>
      </w:pPr>
    </w:p>
    <w:p w14:paraId="2BAF3300">
      <w:pPr>
        <w:jc w:val="both"/>
        <w:rPr>
          <w:rFonts w:hint="eastAsia"/>
          <w:b/>
          <w:bCs/>
          <w:lang w:val="en-US" w:eastAsia="zh-CN"/>
        </w:rPr>
      </w:pPr>
    </w:p>
    <w:p w14:paraId="3BB04FA8">
      <w:pPr>
        <w:jc w:val="both"/>
        <w:rPr>
          <w:rFonts w:hint="eastAsia"/>
          <w:b/>
          <w:bCs/>
          <w:lang w:val="en-US" w:eastAsia="zh-CN"/>
        </w:rPr>
      </w:pPr>
    </w:p>
    <w:p w14:paraId="52F641D0">
      <w:pPr>
        <w:jc w:val="both"/>
        <w:rPr>
          <w:rFonts w:hint="eastAsia"/>
          <w:b/>
          <w:bCs/>
          <w:lang w:val="en-US" w:eastAsia="zh-CN"/>
        </w:rPr>
      </w:pPr>
    </w:p>
    <w:p w14:paraId="6BB50BB4">
      <w:pPr>
        <w:jc w:val="both"/>
        <w:rPr>
          <w:rFonts w:hint="eastAsia"/>
          <w:b/>
          <w:bCs/>
          <w:lang w:val="en-US" w:eastAsia="zh-CN"/>
        </w:rPr>
      </w:pPr>
    </w:p>
    <w:p w14:paraId="73B8B567">
      <w:pPr>
        <w:jc w:val="both"/>
        <w:rPr>
          <w:rFonts w:hint="eastAsia"/>
          <w:b/>
          <w:bCs/>
          <w:lang w:val="en-US" w:eastAsia="zh-CN"/>
        </w:rPr>
      </w:pPr>
    </w:p>
    <w:p w14:paraId="7C1C5374">
      <w:pPr>
        <w:jc w:val="both"/>
        <w:rPr>
          <w:rFonts w:hint="eastAsia"/>
          <w:b/>
          <w:bCs/>
          <w:lang w:val="en-US" w:eastAsia="zh-CN"/>
        </w:rPr>
      </w:pPr>
    </w:p>
    <w:p w14:paraId="235CDEEC">
      <w:pPr>
        <w:pStyle w:val="3"/>
        <w:rPr>
          <w:rFonts w:hint="eastAsia"/>
          <w:b/>
          <w:bCs/>
        </w:rPr>
      </w:pPr>
      <w:r>
        <w:rPr>
          <w:rFonts w:hint="eastAsia"/>
          <w:b/>
          <w:bCs/>
          <w:lang w:val="en-US" w:eastAsia="zh-CN"/>
        </w:rPr>
        <w:t>商务偏离</w:t>
      </w:r>
      <w:r>
        <w:rPr>
          <w:rFonts w:hint="eastAsia"/>
          <w:b/>
          <w:bCs/>
        </w:rPr>
        <w:t>表</w:t>
      </w:r>
    </w:p>
    <w:p w14:paraId="6A5D48D0">
      <w:pPr>
        <w:rPr>
          <w:rFonts w:hint="eastAsia"/>
        </w:rPr>
      </w:pPr>
    </w:p>
    <w:tbl>
      <w:tblPr>
        <w:tblStyle w:val="33"/>
        <w:tblpPr w:leftFromText="180" w:rightFromText="180" w:vertAnchor="text" w:horzAnchor="page" w:tblpX="1313" w:tblpY="364"/>
        <w:tblOverlap w:val="never"/>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135"/>
        <w:gridCol w:w="1594"/>
        <w:gridCol w:w="1593"/>
        <w:gridCol w:w="1593"/>
        <w:gridCol w:w="1594"/>
      </w:tblGrid>
      <w:tr w14:paraId="6150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1047" w:type="dxa"/>
            <w:vAlign w:val="center"/>
          </w:tcPr>
          <w:p w14:paraId="3F675877">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序号</w:t>
            </w:r>
          </w:p>
        </w:tc>
        <w:tc>
          <w:tcPr>
            <w:tcW w:w="2135" w:type="dxa"/>
            <w:vAlign w:val="center"/>
          </w:tcPr>
          <w:p w14:paraId="5712A403">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谈判文件条款号</w:t>
            </w:r>
          </w:p>
        </w:tc>
        <w:tc>
          <w:tcPr>
            <w:tcW w:w="1594" w:type="dxa"/>
            <w:vAlign w:val="center"/>
          </w:tcPr>
          <w:p w14:paraId="54F175E3">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谈判文件的商务条款</w:t>
            </w:r>
          </w:p>
        </w:tc>
        <w:tc>
          <w:tcPr>
            <w:tcW w:w="1593" w:type="dxa"/>
          </w:tcPr>
          <w:p w14:paraId="7AD88AB4">
            <w:pPr>
              <w:jc w:val="center"/>
              <w:rPr>
                <w:rFonts w:hint="eastAsia" w:asciiTheme="majorEastAsia" w:hAnsiTheme="majorEastAsia" w:eastAsiaTheme="majorEastAsia" w:cstheme="majorEastAsia"/>
                <w:kern w:val="0"/>
                <w:sz w:val="24"/>
                <w:szCs w:val="24"/>
                <w:lang w:eastAsia="zh-CN"/>
              </w:rPr>
            </w:pPr>
          </w:p>
          <w:p w14:paraId="232E6DF1">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投标文件的商务条款</w:t>
            </w:r>
          </w:p>
        </w:tc>
        <w:tc>
          <w:tcPr>
            <w:tcW w:w="1593" w:type="dxa"/>
            <w:vAlign w:val="center"/>
          </w:tcPr>
          <w:p w14:paraId="6E31B907">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偏离</w:t>
            </w:r>
          </w:p>
        </w:tc>
        <w:tc>
          <w:tcPr>
            <w:tcW w:w="1594" w:type="dxa"/>
            <w:vAlign w:val="center"/>
          </w:tcPr>
          <w:p w14:paraId="76B709CB">
            <w:pPr>
              <w:jc w:val="center"/>
              <w:rPr>
                <w:rFonts w:hint="eastAsia" w:asciiTheme="majorEastAsia" w:hAnsiTheme="majorEastAsia" w:eastAsiaTheme="majorEastAsia" w:cstheme="majorEastAsia"/>
                <w:kern w:val="0"/>
                <w:sz w:val="24"/>
                <w:szCs w:val="24"/>
                <w:lang w:eastAsia="zh-CN"/>
              </w:rPr>
            </w:pPr>
            <w:r>
              <w:rPr>
                <w:rFonts w:hint="eastAsia" w:asciiTheme="majorEastAsia" w:hAnsiTheme="majorEastAsia" w:eastAsiaTheme="majorEastAsia" w:cstheme="majorEastAsia"/>
                <w:kern w:val="0"/>
                <w:sz w:val="24"/>
                <w:szCs w:val="24"/>
                <w:lang w:eastAsia="zh-CN"/>
              </w:rPr>
              <w:t>说明</w:t>
            </w:r>
          </w:p>
        </w:tc>
      </w:tr>
      <w:tr w14:paraId="44CD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1594A0E8">
            <w:pPr>
              <w:jc w:val="center"/>
              <w:rPr>
                <w:rFonts w:hint="eastAsia"/>
              </w:rPr>
            </w:pPr>
            <w:r>
              <w:rPr>
                <w:rFonts w:hint="eastAsia"/>
              </w:rPr>
              <w:t>1</w:t>
            </w:r>
          </w:p>
        </w:tc>
        <w:tc>
          <w:tcPr>
            <w:tcW w:w="2135" w:type="dxa"/>
            <w:vAlign w:val="center"/>
          </w:tcPr>
          <w:p w14:paraId="5E9979FE">
            <w:pPr>
              <w:rPr>
                <w:rFonts w:hint="eastAsia"/>
                <w:bCs/>
                <w:szCs w:val="21"/>
              </w:rPr>
            </w:pPr>
          </w:p>
        </w:tc>
        <w:tc>
          <w:tcPr>
            <w:tcW w:w="1594" w:type="dxa"/>
            <w:vAlign w:val="center"/>
          </w:tcPr>
          <w:p w14:paraId="5110FA91">
            <w:pPr>
              <w:jc w:val="center"/>
              <w:rPr>
                <w:rFonts w:hint="eastAsia"/>
                <w:szCs w:val="21"/>
              </w:rPr>
            </w:pPr>
          </w:p>
        </w:tc>
        <w:tc>
          <w:tcPr>
            <w:tcW w:w="1593" w:type="dxa"/>
          </w:tcPr>
          <w:p w14:paraId="27E9A813">
            <w:pPr>
              <w:jc w:val="center"/>
              <w:rPr>
                <w:rFonts w:hint="eastAsia"/>
                <w:bCs/>
                <w:szCs w:val="21"/>
              </w:rPr>
            </w:pPr>
          </w:p>
        </w:tc>
        <w:tc>
          <w:tcPr>
            <w:tcW w:w="1593" w:type="dxa"/>
            <w:vAlign w:val="center"/>
          </w:tcPr>
          <w:p w14:paraId="1284E61A">
            <w:pPr>
              <w:jc w:val="center"/>
              <w:rPr>
                <w:rFonts w:hint="eastAsia"/>
                <w:bCs/>
                <w:szCs w:val="21"/>
              </w:rPr>
            </w:pPr>
          </w:p>
        </w:tc>
        <w:tc>
          <w:tcPr>
            <w:tcW w:w="1594" w:type="dxa"/>
            <w:vAlign w:val="center"/>
          </w:tcPr>
          <w:p w14:paraId="1F7D3F29">
            <w:pPr>
              <w:jc w:val="center"/>
              <w:rPr>
                <w:rFonts w:hint="eastAsia"/>
                <w:color w:val="000000"/>
                <w:szCs w:val="21"/>
              </w:rPr>
            </w:pPr>
          </w:p>
        </w:tc>
      </w:tr>
      <w:tr w14:paraId="04BA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79C0A7FF">
            <w:pPr>
              <w:jc w:val="center"/>
              <w:rPr>
                <w:rFonts w:hint="eastAsia"/>
              </w:rPr>
            </w:pPr>
            <w:r>
              <w:rPr>
                <w:rFonts w:hint="eastAsia"/>
              </w:rPr>
              <w:t>2</w:t>
            </w:r>
          </w:p>
        </w:tc>
        <w:tc>
          <w:tcPr>
            <w:tcW w:w="2135" w:type="dxa"/>
            <w:vAlign w:val="center"/>
          </w:tcPr>
          <w:p w14:paraId="2EABB65E">
            <w:pPr>
              <w:rPr>
                <w:rFonts w:hint="eastAsia"/>
                <w:bCs/>
                <w:szCs w:val="21"/>
              </w:rPr>
            </w:pPr>
          </w:p>
        </w:tc>
        <w:tc>
          <w:tcPr>
            <w:tcW w:w="1594" w:type="dxa"/>
            <w:vAlign w:val="center"/>
          </w:tcPr>
          <w:p w14:paraId="554A3A2D">
            <w:pPr>
              <w:jc w:val="center"/>
              <w:rPr>
                <w:rFonts w:hint="eastAsia"/>
                <w:szCs w:val="21"/>
              </w:rPr>
            </w:pPr>
          </w:p>
        </w:tc>
        <w:tc>
          <w:tcPr>
            <w:tcW w:w="1593" w:type="dxa"/>
          </w:tcPr>
          <w:p w14:paraId="142EA61B">
            <w:pPr>
              <w:jc w:val="center"/>
              <w:rPr>
                <w:rFonts w:hint="eastAsia"/>
                <w:bCs/>
                <w:szCs w:val="21"/>
              </w:rPr>
            </w:pPr>
          </w:p>
        </w:tc>
        <w:tc>
          <w:tcPr>
            <w:tcW w:w="1593" w:type="dxa"/>
            <w:vAlign w:val="center"/>
          </w:tcPr>
          <w:p w14:paraId="3A727DA7">
            <w:pPr>
              <w:jc w:val="center"/>
              <w:rPr>
                <w:rFonts w:hint="eastAsia"/>
                <w:bCs/>
                <w:szCs w:val="21"/>
              </w:rPr>
            </w:pPr>
          </w:p>
        </w:tc>
        <w:tc>
          <w:tcPr>
            <w:tcW w:w="1594" w:type="dxa"/>
            <w:vAlign w:val="center"/>
          </w:tcPr>
          <w:p w14:paraId="7E7E513D">
            <w:pPr>
              <w:jc w:val="center"/>
              <w:rPr>
                <w:rFonts w:hint="eastAsia"/>
                <w:color w:val="000000"/>
                <w:szCs w:val="21"/>
              </w:rPr>
            </w:pPr>
          </w:p>
        </w:tc>
      </w:tr>
      <w:tr w14:paraId="0996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606B116E">
            <w:pPr>
              <w:jc w:val="center"/>
              <w:rPr>
                <w:rFonts w:hint="eastAsia"/>
              </w:rPr>
            </w:pPr>
            <w:r>
              <w:rPr>
                <w:rFonts w:hint="eastAsia"/>
              </w:rPr>
              <w:t>3</w:t>
            </w:r>
          </w:p>
        </w:tc>
        <w:tc>
          <w:tcPr>
            <w:tcW w:w="2135" w:type="dxa"/>
            <w:vAlign w:val="center"/>
          </w:tcPr>
          <w:p w14:paraId="17054883">
            <w:pPr>
              <w:rPr>
                <w:rFonts w:hint="eastAsia"/>
                <w:bCs/>
                <w:szCs w:val="21"/>
              </w:rPr>
            </w:pPr>
          </w:p>
        </w:tc>
        <w:tc>
          <w:tcPr>
            <w:tcW w:w="1594" w:type="dxa"/>
            <w:vAlign w:val="center"/>
          </w:tcPr>
          <w:p w14:paraId="75F40571">
            <w:pPr>
              <w:jc w:val="center"/>
              <w:rPr>
                <w:rFonts w:hint="eastAsia"/>
                <w:szCs w:val="21"/>
              </w:rPr>
            </w:pPr>
          </w:p>
        </w:tc>
        <w:tc>
          <w:tcPr>
            <w:tcW w:w="1593" w:type="dxa"/>
          </w:tcPr>
          <w:p w14:paraId="6B8750E1">
            <w:pPr>
              <w:jc w:val="center"/>
              <w:rPr>
                <w:rFonts w:hint="eastAsia"/>
                <w:bCs/>
                <w:szCs w:val="21"/>
              </w:rPr>
            </w:pPr>
          </w:p>
        </w:tc>
        <w:tc>
          <w:tcPr>
            <w:tcW w:w="1593" w:type="dxa"/>
            <w:vAlign w:val="center"/>
          </w:tcPr>
          <w:p w14:paraId="1478DEF3">
            <w:pPr>
              <w:jc w:val="center"/>
              <w:rPr>
                <w:rFonts w:hint="eastAsia"/>
                <w:bCs/>
                <w:szCs w:val="21"/>
              </w:rPr>
            </w:pPr>
          </w:p>
        </w:tc>
        <w:tc>
          <w:tcPr>
            <w:tcW w:w="1594" w:type="dxa"/>
            <w:vAlign w:val="center"/>
          </w:tcPr>
          <w:p w14:paraId="1D004B3D">
            <w:pPr>
              <w:jc w:val="center"/>
              <w:rPr>
                <w:rFonts w:hint="eastAsia"/>
                <w:color w:val="000000"/>
                <w:szCs w:val="21"/>
              </w:rPr>
            </w:pPr>
          </w:p>
        </w:tc>
      </w:tr>
      <w:tr w14:paraId="1BEE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10476012">
            <w:pPr>
              <w:jc w:val="center"/>
              <w:rPr>
                <w:rFonts w:hint="eastAsia"/>
              </w:rPr>
            </w:pPr>
            <w:r>
              <w:rPr>
                <w:rFonts w:hint="eastAsia"/>
              </w:rPr>
              <w:t>4</w:t>
            </w:r>
          </w:p>
        </w:tc>
        <w:tc>
          <w:tcPr>
            <w:tcW w:w="2135" w:type="dxa"/>
            <w:vAlign w:val="center"/>
          </w:tcPr>
          <w:p w14:paraId="2AE2F712">
            <w:pPr>
              <w:rPr>
                <w:rFonts w:hint="eastAsia"/>
                <w:bCs/>
                <w:szCs w:val="21"/>
              </w:rPr>
            </w:pPr>
          </w:p>
        </w:tc>
        <w:tc>
          <w:tcPr>
            <w:tcW w:w="1594" w:type="dxa"/>
            <w:vAlign w:val="center"/>
          </w:tcPr>
          <w:p w14:paraId="5F253141">
            <w:pPr>
              <w:jc w:val="center"/>
              <w:rPr>
                <w:rFonts w:hint="eastAsia"/>
                <w:szCs w:val="21"/>
              </w:rPr>
            </w:pPr>
          </w:p>
        </w:tc>
        <w:tc>
          <w:tcPr>
            <w:tcW w:w="1593" w:type="dxa"/>
          </w:tcPr>
          <w:p w14:paraId="13272BC0">
            <w:pPr>
              <w:jc w:val="center"/>
              <w:rPr>
                <w:rFonts w:hint="eastAsia"/>
                <w:bCs/>
                <w:szCs w:val="21"/>
              </w:rPr>
            </w:pPr>
          </w:p>
        </w:tc>
        <w:tc>
          <w:tcPr>
            <w:tcW w:w="1593" w:type="dxa"/>
            <w:vAlign w:val="center"/>
          </w:tcPr>
          <w:p w14:paraId="00DE5B51">
            <w:pPr>
              <w:jc w:val="center"/>
              <w:rPr>
                <w:rFonts w:hint="eastAsia"/>
                <w:bCs/>
                <w:szCs w:val="21"/>
              </w:rPr>
            </w:pPr>
          </w:p>
        </w:tc>
        <w:tc>
          <w:tcPr>
            <w:tcW w:w="1594" w:type="dxa"/>
            <w:vAlign w:val="center"/>
          </w:tcPr>
          <w:p w14:paraId="4C832F1F">
            <w:pPr>
              <w:jc w:val="center"/>
              <w:rPr>
                <w:rFonts w:hint="eastAsia"/>
                <w:color w:val="000000"/>
                <w:szCs w:val="21"/>
              </w:rPr>
            </w:pPr>
          </w:p>
        </w:tc>
      </w:tr>
      <w:tr w14:paraId="7463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735E9162">
            <w:pPr>
              <w:jc w:val="center"/>
              <w:rPr>
                <w:rFonts w:hint="eastAsia"/>
              </w:rPr>
            </w:pPr>
            <w:r>
              <w:rPr>
                <w:rFonts w:hint="eastAsia"/>
              </w:rPr>
              <w:t>5</w:t>
            </w:r>
          </w:p>
        </w:tc>
        <w:tc>
          <w:tcPr>
            <w:tcW w:w="2135" w:type="dxa"/>
            <w:vAlign w:val="center"/>
          </w:tcPr>
          <w:p w14:paraId="54AAB32D">
            <w:pPr>
              <w:rPr>
                <w:rFonts w:hint="eastAsia"/>
                <w:bCs/>
                <w:szCs w:val="21"/>
              </w:rPr>
            </w:pPr>
          </w:p>
        </w:tc>
        <w:tc>
          <w:tcPr>
            <w:tcW w:w="1594" w:type="dxa"/>
            <w:vAlign w:val="center"/>
          </w:tcPr>
          <w:p w14:paraId="4D0D3E0E">
            <w:pPr>
              <w:jc w:val="center"/>
              <w:rPr>
                <w:rFonts w:hint="eastAsia"/>
                <w:szCs w:val="21"/>
              </w:rPr>
            </w:pPr>
          </w:p>
        </w:tc>
        <w:tc>
          <w:tcPr>
            <w:tcW w:w="1593" w:type="dxa"/>
          </w:tcPr>
          <w:p w14:paraId="3E266BD0">
            <w:pPr>
              <w:jc w:val="center"/>
              <w:rPr>
                <w:rFonts w:hint="eastAsia"/>
                <w:bCs/>
                <w:szCs w:val="21"/>
              </w:rPr>
            </w:pPr>
          </w:p>
        </w:tc>
        <w:tc>
          <w:tcPr>
            <w:tcW w:w="1593" w:type="dxa"/>
            <w:vAlign w:val="center"/>
          </w:tcPr>
          <w:p w14:paraId="69A8BE70">
            <w:pPr>
              <w:jc w:val="center"/>
              <w:rPr>
                <w:rFonts w:hint="eastAsia"/>
                <w:bCs/>
                <w:szCs w:val="21"/>
              </w:rPr>
            </w:pPr>
          </w:p>
        </w:tc>
        <w:tc>
          <w:tcPr>
            <w:tcW w:w="1594" w:type="dxa"/>
            <w:vAlign w:val="center"/>
          </w:tcPr>
          <w:p w14:paraId="02DAC75A">
            <w:pPr>
              <w:jc w:val="center"/>
              <w:rPr>
                <w:rFonts w:hint="eastAsia"/>
                <w:color w:val="000000"/>
                <w:szCs w:val="21"/>
              </w:rPr>
            </w:pPr>
          </w:p>
        </w:tc>
      </w:tr>
      <w:tr w14:paraId="0408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608800E8">
            <w:pPr>
              <w:jc w:val="center"/>
              <w:rPr>
                <w:rFonts w:hint="eastAsia"/>
              </w:rPr>
            </w:pPr>
            <w:r>
              <w:rPr>
                <w:rFonts w:hint="eastAsia"/>
              </w:rPr>
              <w:t>6</w:t>
            </w:r>
          </w:p>
        </w:tc>
        <w:tc>
          <w:tcPr>
            <w:tcW w:w="2135" w:type="dxa"/>
            <w:vAlign w:val="center"/>
          </w:tcPr>
          <w:p w14:paraId="477C6E2A">
            <w:pPr>
              <w:rPr>
                <w:rFonts w:hint="eastAsia"/>
                <w:bCs/>
                <w:szCs w:val="21"/>
              </w:rPr>
            </w:pPr>
          </w:p>
        </w:tc>
        <w:tc>
          <w:tcPr>
            <w:tcW w:w="1594" w:type="dxa"/>
            <w:vAlign w:val="center"/>
          </w:tcPr>
          <w:p w14:paraId="6E0E6DF8">
            <w:pPr>
              <w:jc w:val="center"/>
              <w:rPr>
                <w:rFonts w:hint="eastAsia"/>
                <w:szCs w:val="21"/>
              </w:rPr>
            </w:pPr>
          </w:p>
        </w:tc>
        <w:tc>
          <w:tcPr>
            <w:tcW w:w="1593" w:type="dxa"/>
          </w:tcPr>
          <w:p w14:paraId="12E96BD4">
            <w:pPr>
              <w:jc w:val="center"/>
              <w:rPr>
                <w:rFonts w:hint="eastAsia"/>
                <w:bCs/>
                <w:szCs w:val="21"/>
              </w:rPr>
            </w:pPr>
          </w:p>
        </w:tc>
        <w:tc>
          <w:tcPr>
            <w:tcW w:w="1593" w:type="dxa"/>
            <w:vAlign w:val="center"/>
          </w:tcPr>
          <w:p w14:paraId="144F30A1">
            <w:pPr>
              <w:jc w:val="center"/>
              <w:rPr>
                <w:rFonts w:hint="eastAsia"/>
                <w:bCs/>
                <w:szCs w:val="21"/>
              </w:rPr>
            </w:pPr>
          </w:p>
        </w:tc>
        <w:tc>
          <w:tcPr>
            <w:tcW w:w="1594" w:type="dxa"/>
            <w:vAlign w:val="center"/>
          </w:tcPr>
          <w:p w14:paraId="4B20D8CF">
            <w:pPr>
              <w:jc w:val="center"/>
              <w:rPr>
                <w:rFonts w:hint="eastAsia"/>
                <w:color w:val="000000"/>
                <w:szCs w:val="21"/>
              </w:rPr>
            </w:pPr>
          </w:p>
        </w:tc>
      </w:tr>
      <w:tr w14:paraId="19B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300A7CD7">
            <w:pPr>
              <w:jc w:val="center"/>
              <w:rPr>
                <w:rFonts w:hint="eastAsia"/>
              </w:rPr>
            </w:pPr>
            <w:r>
              <w:rPr>
                <w:rFonts w:hint="eastAsia"/>
              </w:rPr>
              <w:t>7</w:t>
            </w:r>
          </w:p>
        </w:tc>
        <w:tc>
          <w:tcPr>
            <w:tcW w:w="2135" w:type="dxa"/>
            <w:vAlign w:val="center"/>
          </w:tcPr>
          <w:p w14:paraId="72034CF8">
            <w:pPr>
              <w:rPr>
                <w:rFonts w:hint="eastAsia"/>
                <w:bCs/>
                <w:szCs w:val="21"/>
              </w:rPr>
            </w:pPr>
          </w:p>
        </w:tc>
        <w:tc>
          <w:tcPr>
            <w:tcW w:w="1594" w:type="dxa"/>
            <w:vAlign w:val="center"/>
          </w:tcPr>
          <w:p w14:paraId="043A71FB">
            <w:pPr>
              <w:jc w:val="center"/>
              <w:rPr>
                <w:rFonts w:hint="eastAsia"/>
                <w:szCs w:val="21"/>
              </w:rPr>
            </w:pPr>
          </w:p>
        </w:tc>
        <w:tc>
          <w:tcPr>
            <w:tcW w:w="1593" w:type="dxa"/>
          </w:tcPr>
          <w:p w14:paraId="3A52DEC4">
            <w:pPr>
              <w:jc w:val="center"/>
              <w:rPr>
                <w:rFonts w:hint="eastAsia"/>
                <w:bCs/>
                <w:szCs w:val="21"/>
              </w:rPr>
            </w:pPr>
          </w:p>
        </w:tc>
        <w:tc>
          <w:tcPr>
            <w:tcW w:w="1593" w:type="dxa"/>
            <w:vAlign w:val="center"/>
          </w:tcPr>
          <w:p w14:paraId="4D61CEB5">
            <w:pPr>
              <w:jc w:val="center"/>
              <w:rPr>
                <w:rFonts w:hint="eastAsia"/>
                <w:bCs/>
                <w:szCs w:val="21"/>
              </w:rPr>
            </w:pPr>
          </w:p>
        </w:tc>
        <w:tc>
          <w:tcPr>
            <w:tcW w:w="1594" w:type="dxa"/>
            <w:vAlign w:val="center"/>
          </w:tcPr>
          <w:p w14:paraId="1D911C9A">
            <w:pPr>
              <w:jc w:val="center"/>
              <w:rPr>
                <w:rFonts w:hint="eastAsia"/>
                <w:color w:val="000000"/>
                <w:szCs w:val="21"/>
              </w:rPr>
            </w:pPr>
          </w:p>
        </w:tc>
      </w:tr>
      <w:tr w14:paraId="04FB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47" w:type="dxa"/>
            <w:vAlign w:val="center"/>
          </w:tcPr>
          <w:p w14:paraId="32E6AA0B">
            <w:pPr>
              <w:jc w:val="center"/>
              <w:rPr>
                <w:rFonts w:hint="eastAsia"/>
              </w:rPr>
            </w:pPr>
            <w:r>
              <w:rPr>
                <w:rFonts w:hint="eastAsia"/>
              </w:rPr>
              <w:t>8</w:t>
            </w:r>
          </w:p>
        </w:tc>
        <w:tc>
          <w:tcPr>
            <w:tcW w:w="2135" w:type="dxa"/>
            <w:vAlign w:val="center"/>
          </w:tcPr>
          <w:p w14:paraId="05CC459C">
            <w:pPr>
              <w:rPr>
                <w:rFonts w:hint="eastAsia"/>
                <w:bCs/>
                <w:szCs w:val="21"/>
              </w:rPr>
            </w:pPr>
          </w:p>
        </w:tc>
        <w:tc>
          <w:tcPr>
            <w:tcW w:w="1594" w:type="dxa"/>
            <w:vAlign w:val="center"/>
          </w:tcPr>
          <w:p w14:paraId="1AFF648A">
            <w:pPr>
              <w:jc w:val="center"/>
              <w:rPr>
                <w:rFonts w:hint="eastAsia"/>
                <w:szCs w:val="21"/>
              </w:rPr>
            </w:pPr>
          </w:p>
        </w:tc>
        <w:tc>
          <w:tcPr>
            <w:tcW w:w="1593" w:type="dxa"/>
          </w:tcPr>
          <w:p w14:paraId="6F814901">
            <w:pPr>
              <w:jc w:val="center"/>
              <w:rPr>
                <w:rFonts w:hint="eastAsia"/>
                <w:bCs/>
                <w:szCs w:val="21"/>
              </w:rPr>
            </w:pPr>
          </w:p>
        </w:tc>
        <w:tc>
          <w:tcPr>
            <w:tcW w:w="1593" w:type="dxa"/>
            <w:vAlign w:val="center"/>
          </w:tcPr>
          <w:p w14:paraId="0BE2FF17">
            <w:pPr>
              <w:jc w:val="center"/>
              <w:rPr>
                <w:rFonts w:hint="eastAsia"/>
                <w:bCs/>
                <w:szCs w:val="21"/>
              </w:rPr>
            </w:pPr>
          </w:p>
        </w:tc>
        <w:tc>
          <w:tcPr>
            <w:tcW w:w="1594" w:type="dxa"/>
            <w:vAlign w:val="center"/>
          </w:tcPr>
          <w:p w14:paraId="6EEDA8F6">
            <w:pPr>
              <w:jc w:val="center"/>
              <w:rPr>
                <w:rFonts w:hint="eastAsia"/>
                <w:color w:val="000000"/>
                <w:szCs w:val="21"/>
              </w:rPr>
            </w:pPr>
          </w:p>
        </w:tc>
      </w:tr>
    </w:tbl>
    <w:p w14:paraId="0D71CD66">
      <w:pPr>
        <w:ind w:firstLine="480" w:firstLineChars="200"/>
        <w:rPr>
          <w:rFonts w:hint="eastAsia" w:ascii="华文仿宋" w:hAnsi="华文仿宋" w:eastAsia="华文仿宋" w:cs="华文仿宋"/>
          <w:kern w:val="0"/>
          <w:sz w:val="24"/>
          <w:szCs w:val="24"/>
        </w:rPr>
      </w:pPr>
      <w:r>
        <w:rPr>
          <w:rFonts w:hint="eastAsia" w:ascii="华文仿宋" w:hAnsi="华文仿宋" w:eastAsia="华文仿宋" w:cs="华文仿宋"/>
          <w:kern w:val="0"/>
          <w:sz w:val="24"/>
          <w:szCs w:val="24"/>
        </w:rPr>
        <w:t xml:space="preserve">投标单位（盖章）：                                 投标人签字： </w:t>
      </w:r>
    </w:p>
    <w:p w14:paraId="17D9DAED">
      <w:pPr>
        <w:ind w:firstLine="480" w:firstLineChars="200"/>
        <w:rPr>
          <w:rFonts w:hint="eastAsia" w:ascii="华文仿宋" w:hAnsi="华文仿宋" w:eastAsia="华文仿宋" w:cs="华文仿宋"/>
          <w:kern w:val="0"/>
          <w:sz w:val="24"/>
          <w:szCs w:val="24"/>
        </w:rPr>
      </w:pPr>
    </w:p>
    <w:p w14:paraId="79663E40">
      <w:pPr>
        <w:ind w:firstLine="480" w:firstLineChars="200"/>
        <w:rPr>
          <w:rFonts w:hint="eastAsia" w:ascii="华文仿宋" w:hAnsi="华文仿宋" w:eastAsia="华文仿宋" w:cs="华文仿宋"/>
          <w:kern w:val="0"/>
          <w:sz w:val="24"/>
          <w:szCs w:val="24"/>
        </w:rPr>
      </w:pPr>
    </w:p>
    <w:p w14:paraId="2D8563D2">
      <w:pPr>
        <w:ind w:firstLine="480" w:firstLineChars="200"/>
        <w:rPr>
          <w:rFonts w:hint="eastAsia" w:ascii="华文仿宋" w:hAnsi="华文仿宋" w:eastAsia="华文仿宋" w:cs="华文仿宋"/>
          <w:kern w:val="0"/>
          <w:sz w:val="24"/>
          <w:szCs w:val="24"/>
        </w:rPr>
      </w:pPr>
    </w:p>
    <w:p w14:paraId="7CD2C946">
      <w:pPr>
        <w:ind w:firstLine="480" w:firstLineChars="200"/>
        <w:rPr>
          <w:rFonts w:hint="eastAsia" w:ascii="华文仿宋" w:hAnsi="华文仿宋" w:eastAsia="华文仿宋" w:cs="华文仿宋"/>
          <w:kern w:val="0"/>
          <w:sz w:val="24"/>
          <w:szCs w:val="24"/>
        </w:rPr>
      </w:pPr>
    </w:p>
    <w:p w14:paraId="3F7D37EE">
      <w:pPr>
        <w:ind w:firstLine="480" w:firstLineChars="200"/>
        <w:rPr>
          <w:rFonts w:hint="eastAsia" w:ascii="华文仿宋" w:hAnsi="华文仿宋" w:eastAsia="华文仿宋" w:cs="华文仿宋"/>
          <w:kern w:val="0"/>
          <w:sz w:val="24"/>
          <w:szCs w:val="24"/>
        </w:rPr>
      </w:pPr>
    </w:p>
    <w:p w14:paraId="66E92295">
      <w:pPr>
        <w:ind w:firstLine="480" w:firstLineChars="200"/>
        <w:rPr>
          <w:rFonts w:hint="eastAsia" w:ascii="华文仿宋" w:hAnsi="华文仿宋" w:eastAsia="华文仿宋" w:cs="华文仿宋"/>
          <w:kern w:val="0"/>
          <w:sz w:val="24"/>
          <w:szCs w:val="24"/>
        </w:rPr>
      </w:pPr>
    </w:p>
    <w:p w14:paraId="781FF18B">
      <w:pPr>
        <w:ind w:firstLine="480" w:firstLineChars="200"/>
        <w:rPr>
          <w:rFonts w:hint="eastAsia" w:ascii="华文仿宋" w:hAnsi="华文仿宋" w:eastAsia="华文仿宋" w:cs="华文仿宋"/>
          <w:kern w:val="0"/>
          <w:sz w:val="24"/>
          <w:szCs w:val="24"/>
        </w:rPr>
      </w:pPr>
    </w:p>
    <w:p w14:paraId="15BED936">
      <w:pPr>
        <w:ind w:firstLine="480" w:firstLineChars="200"/>
        <w:rPr>
          <w:rFonts w:hint="eastAsia" w:ascii="华文仿宋" w:hAnsi="华文仿宋" w:eastAsia="华文仿宋" w:cs="华文仿宋"/>
          <w:kern w:val="0"/>
          <w:sz w:val="24"/>
          <w:szCs w:val="24"/>
        </w:rPr>
      </w:pPr>
    </w:p>
    <w:p w14:paraId="15D8069E">
      <w:pPr>
        <w:ind w:firstLine="480" w:firstLineChars="200"/>
        <w:rPr>
          <w:rFonts w:hint="eastAsia" w:ascii="华文仿宋" w:hAnsi="华文仿宋" w:eastAsia="华文仿宋" w:cs="华文仿宋"/>
          <w:kern w:val="0"/>
          <w:sz w:val="24"/>
          <w:szCs w:val="24"/>
        </w:rPr>
      </w:pPr>
    </w:p>
    <w:p w14:paraId="13D4A612">
      <w:pPr>
        <w:ind w:firstLine="480" w:firstLineChars="200"/>
        <w:rPr>
          <w:rFonts w:hint="eastAsia" w:ascii="华文仿宋" w:hAnsi="华文仿宋" w:eastAsia="华文仿宋" w:cs="华文仿宋"/>
          <w:kern w:val="0"/>
          <w:sz w:val="24"/>
          <w:szCs w:val="24"/>
        </w:rPr>
      </w:pPr>
    </w:p>
    <w:p w14:paraId="6F9BF9A4">
      <w:pPr>
        <w:ind w:firstLine="480" w:firstLineChars="200"/>
        <w:rPr>
          <w:rFonts w:hint="eastAsia" w:ascii="华文仿宋" w:hAnsi="华文仿宋" w:eastAsia="华文仿宋" w:cs="华文仿宋"/>
          <w:kern w:val="0"/>
          <w:sz w:val="24"/>
          <w:szCs w:val="24"/>
        </w:rPr>
      </w:pPr>
    </w:p>
    <w:p w14:paraId="75764EED">
      <w:pPr>
        <w:pStyle w:val="3"/>
        <w:rPr>
          <w:rFonts w:hint="eastAsia"/>
        </w:rPr>
      </w:pPr>
      <w:r>
        <w:rPr>
          <w:rFonts w:hint="eastAsia"/>
          <w:lang w:eastAsia="zh-CN"/>
        </w:rPr>
        <w:t>谈判</w:t>
      </w:r>
      <w:r>
        <w:rPr>
          <w:rFonts w:hint="eastAsia"/>
        </w:rPr>
        <w:t>文件、评分标准所要求提供的其他资料</w:t>
      </w:r>
    </w:p>
    <w:p w14:paraId="4E44DD5B">
      <w:pPr>
        <w:pStyle w:val="4"/>
      </w:pPr>
      <w:r>
        <w:rPr>
          <w:rFonts w:hint="eastAsia"/>
        </w:rPr>
        <w:t>1.管理体系认证证书</w:t>
      </w:r>
    </w:p>
    <w:p w14:paraId="33CF238E">
      <w:pPr>
        <w:autoSpaceDE w:val="0"/>
        <w:autoSpaceDN w:val="0"/>
        <w:adjustRightInd w:val="0"/>
        <w:spacing w:line="360" w:lineRule="auto"/>
        <w:ind w:firstLine="420"/>
        <w:rPr>
          <w:rFonts w:hint="eastAsia"/>
          <w:lang w:val="zh-CN"/>
        </w:rPr>
      </w:pPr>
    </w:p>
    <w:p w14:paraId="7255DAC6">
      <w:pPr>
        <w:rPr>
          <w:rFonts w:hint="eastAsia"/>
          <w:lang w:val="zh-CN"/>
        </w:rPr>
      </w:pPr>
      <w:r>
        <w:rPr>
          <w:rFonts w:hint="eastAsia"/>
          <w:lang w:val="zh-CN"/>
        </w:rPr>
        <w:br w:type="page"/>
      </w:r>
    </w:p>
    <w:p w14:paraId="04B0E4D2">
      <w:pPr>
        <w:pStyle w:val="3"/>
      </w:pPr>
      <w:r>
        <w:rPr>
          <w:rFonts w:hint="eastAsia"/>
        </w:rPr>
        <w:t>相关业绩证明材料</w:t>
      </w:r>
    </w:p>
    <w:p w14:paraId="51390A77">
      <w:pPr>
        <w:wordWrap w:val="0"/>
        <w:adjustRightInd w:val="0"/>
        <w:snapToGrid w:val="0"/>
        <w:spacing w:line="360" w:lineRule="auto"/>
        <w:jc w:val="center"/>
        <w:rPr>
          <w:rFonts w:hint="eastAsia"/>
        </w:rPr>
      </w:pPr>
    </w:p>
    <w:p w14:paraId="26200FE5">
      <w:pPr>
        <w:wordWrap w:val="0"/>
        <w:adjustRightInd w:val="0"/>
        <w:snapToGrid w:val="0"/>
        <w:spacing w:line="360" w:lineRule="auto"/>
        <w:jc w:val="center"/>
        <w:rPr>
          <w:rFonts w:hint="eastAsia"/>
        </w:rPr>
      </w:pPr>
      <w:r>
        <w:rPr>
          <w:rFonts w:hint="eastAsia"/>
        </w:rPr>
        <w:t>业绩统计表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22"/>
        <w:gridCol w:w="1131"/>
        <w:gridCol w:w="1468"/>
        <w:gridCol w:w="1430"/>
        <w:gridCol w:w="1321"/>
        <w:gridCol w:w="1854"/>
      </w:tblGrid>
      <w:tr w14:paraId="58E5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9220B36">
            <w:pPr>
              <w:adjustRightInd w:val="0"/>
              <w:snapToGrid w:val="0"/>
              <w:jc w:val="center"/>
              <w:rPr>
                <w:rFonts w:hint="eastAsia"/>
                <w:snapToGrid w:val="0"/>
                <w:color w:val="000000"/>
                <w:szCs w:val="21"/>
              </w:rPr>
            </w:pPr>
            <w:r>
              <w:rPr>
                <w:rFonts w:hint="eastAsia"/>
                <w:snapToGrid w:val="0"/>
                <w:color w:val="000000"/>
                <w:szCs w:val="21"/>
              </w:rPr>
              <w:t>序号</w:t>
            </w:r>
          </w:p>
        </w:tc>
        <w:tc>
          <w:tcPr>
            <w:tcW w:w="1322" w:type="dxa"/>
            <w:shd w:val="clear" w:color="auto" w:fill="auto"/>
            <w:vAlign w:val="center"/>
          </w:tcPr>
          <w:p w14:paraId="01DF250D">
            <w:pPr>
              <w:adjustRightInd w:val="0"/>
              <w:snapToGrid w:val="0"/>
              <w:jc w:val="center"/>
              <w:rPr>
                <w:rFonts w:hint="eastAsia"/>
                <w:snapToGrid w:val="0"/>
                <w:color w:val="000000"/>
                <w:szCs w:val="21"/>
              </w:rPr>
            </w:pPr>
            <w:r>
              <w:rPr>
                <w:rFonts w:hint="eastAsia"/>
                <w:snapToGrid w:val="0"/>
                <w:color w:val="000000"/>
                <w:szCs w:val="21"/>
              </w:rPr>
              <w:t>采购人名称</w:t>
            </w:r>
          </w:p>
        </w:tc>
        <w:tc>
          <w:tcPr>
            <w:tcW w:w="1131" w:type="dxa"/>
            <w:shd w:val="clear" w:color="auto" w:fill="auto"/>
            <w:vAlign w:val="center"/>
          </w:tcPr>
          <w:p w14:paraId="2C14F8F7">
            <w:pPr>
              <w:adjustRightInd w:val="0"/>
              <w:snapToGrid w:val="0"/>
              <w:jc w:val="center"/>
              <w:rPr>
                <w:rFonts w:hint="eastAsia"/>
                <w:snapToGrid w:val="0"/>
                <w:color w:val="000000"/>
                <w:szCs w:val="21"/>
              </w:rPr>
            </w:pPr>
            <w:r>
              <w:rPr>
                <w:rFonts w:hint="eastAsia"/>
                <w:snapToGrid w:val="0"/>
                <w:color w:val="000000"/>
                <w:szCs w:val="21"/>
              </w:rPr>
              <w:t>合同名称</w:t>
            </w:r>
          </w:p>
        </w:tc>
        <w:tc>
          <w:tcPr>
            <w:tcW w:w="1468" w:type="dxa"/>
            <w:shd w:val="clear" w:color="auto" w:fill="auto"/>
            <w:vAlign w:val="center"/>
          </w:tcPr>
          <w:p w14:paraId="2F234581">
            <w:pPr>
              <w:adjustRightInd w:val="0"/>
              <w:snapToGrid w:val="0"/>
              <w:jc w:val="center"/>
              <w:rPr>
                <w:rFonts w:hint="eastAsia"/>
                <w:snapToGrid w:val="0"/>
                <w:color w:val="000000"/>
                <w:szCs w:val="21"/>
              </w:rPr>
            </w:pPr>
            <w:r>
              <w:rPr>
                <w:rFonts w:hint="eastAsia"/>
                <w:snapToGrid w:val="0"/>
                <w:color w:val="000000"/>
                <w:szCs w:val="21"/>
              </w:rPr>
              <w:t>合同内容</w:t>
            </w:r>
          </w:p>
        </w:tc>
        <w:tc>
          <w:tcPr>
            <w:tcW w:w="1430" w:type="dxa"/>
            <w:shd w:val="clear" w:color="auto" w:fill="auto"/>
            <w:vAlign w:val="center"/>
          </w:tcPr>
          <w:p w14:paraId="679FF9EC">
            <w:pPr>
              <w:adjustRightInd w:val="0"/>
              <w:snapToGrid w:val="0"/>
              <w:jc w:val="center"/>
              <w:rPr>
                <w:rFonts w:hint="eastAsia"/>
                <w:snapToGrid w:val="0"/>
                <w:color w:val="000000"/>
                <w:szCs w:val="21"/>
              </w:rPr>
            </w:pPr>
            <w:r>
              <w:rPr>
                <w:rFonts w:hint="eastAsia"/>
                <w:snapToGrid w:val="0"/>
                <w:color w:val="000000"/>
                <w:szCs w:val="21"/>
              </w:rPr>
              <w:t>合同金额</w:t>
            </w:r>
          </w:p>
        </w:tc>
        <w:tc>
          <w:tcPr>
            <w:tcW w:w="1321" w:type="dxa"/>
            <w:shd w:val="clear" w:color="auto" w:fill="auto"/>
            <w:vAlign w:val="center"/>
          </w:tcPr>
          <w:p w14:paraId="4D253FF7">
            <w:pPr>
              <w:adjustRightInd w:val="0"/>
              <w:snapToGrid w:val="0"/>
              <w:jc w:val="center"/>
              <w:rPr>
                <w:rFonts w:hint="eastAsia"/>
                <w:snapToGrid w:val="0"/>
                <w:color w:val="000000"/>
                <w:szCs w:val="21"/>
              </w:rPr>
            </w:pPr>
            <w:r>
              <w:rPr>
                <w:rFonts w:hint="eastAsia"/>
                <w:snapToGrid w:val="0"/>
                <w:color w:val="000000"/>
                <w:szCs w:val="21"/>
              </w:rPr>
              <w:t>签订时间</w:t>
            </w:r>
          </w:p>
        </w:tc>
        <w:tc>
          <w:tcPr>
            <w:tcW w:w="1854" w:type="dxa"/>
            <w:shd w:val="clear" w:color="auto" w:fill="auto"/>
            <w:vAlign w:val="center"/>
          </w:tcPr>
          <w:p w14:paraId="440EB1F7">
            <w:pPr>
              <w:adjustRightInd w:val="0"/>
              <w:snapToGrid w:val="0"/>
              <w:jc w:val="center"/>
              <w:rPr>
                <w:rFonts w:hint="eastAsia"/>
                <w:snapToGrid w:val="0"/>
                <w:color w:val="000000"/>
                <w:szCs w:val="21"/>
              </w:rPr>
            </w:pPr>
            <w:r>
              <w:rPr>
                <w:rFonts w:hint="eastAsia"/>
                <w:snapToGrid w:val="0"/>
                <w:color w:val="000000"/>
                <w:szCs w:val="21"/>
              </w:rPr>
              <w:t>合作单位联系人及联系电话</w:t>
            </w:r>
          </w:p>
        </w:tc>
      </w:tr>
      <w:tr w14:paraId="2D2D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319A14E">
            <w:pPr>
              <w:adjustRightInd w:val="0"/>
              <w:snapToGrid w:val="0"/>
              <w:jc w:val="center"/>
              <w:rPr>
                <w:rFonts w:hint="eastAsia"/>
                <w:color w:val="000000"/>
                <w:szCs w:val="21"/>
              </w:rPr>
            </w:pPr>
            <w:r>
              <w:rPr>
                <w:rFonts w:hint="eastAsia"/>
                <w:color w:val="000000"/>
                <w:szCs w:val="21"/>
              </w:rPr>
              <w:t>1</w:t>
            </w:r>
          </w:p>
        </w:tc>
        <w:tc>
          <w:tcPr>
            <w:tcW w:w="1322" w:type="dxa"/>
            <w:shd w:val="clear" w:color="auto" w:fill="auto"/>
            <w:vAlign w:val="center"/>
          </w:tcPr>
          <w:p w14:paraId="0B44A460">
            <w:pPr>
              <w:adjustRightInd w:val="0"/>
              <w:snapToGrid w:val="0"/>
              <w:jc w:val="center"/>
              <w:rPr>
                <w:rFonts w:hint="eastAsia"/>
                <w:color w:val="000000"/>
                <w:szCs w:val="21"/>
              </w:rPr>
            </w:pPr>
          </w:p>
        </w:tc>
        <w:tc>
          <w:tcPr>
            <w:tcW w:w="1131" w:type="dxa"/>
            <w:shd w:val="clear" w:color="auto" w:fill="auto"/>
            <w:vAlign w:val="center"/>
          </w:tcPr>
          <w:p w14:paraId="14E151A2">
            <w:pPr>
              <w:adjustRightInd w:val="0"/>
              <w:snapToGrid w:val="0"/>
              <w:jc w:val="center"/>
              <w:rPr>
                <w:rFonts w:hint="eastAsia"/>
                <w:color w:val="000000"/>
                <w:szCs w:val="21"/>
              </w:rPr>
            </w:pPr>
          </w:p>
        </w:tc>
        <w:tc>
          <w:tcPr>
            <w:tcW w:w="1468" w:type="dxa"/>
            <w:shd w:val="clear" w:color="auto" w:fill="auto"/>
            <w:vAlign w:val="center"/>
          </w:tcPr>
          <w:p w14:paraId="1B6F3E04">
            <w:pPr>
              <w:adjustRightInd w:val="0"/>
              <w:snapToGrid w:val="0"/>
              <w:jc w:val="center"/>
              <w:rPr>
                <w:rFonts w:hint="eastAsia"/>
                <w:color w:val="000000"/>
                <w:szCs w:val="21"/>
              </w:rPr>
            </w:pPr>
          </w:p>
        </w:tc>
        <w:tc>
          <w:tcPr>
            <w:tcW w:w="1430" w:type="dxa"/>
            <w:shd w:val="clear" w:color="auto" w:fill="auto"/>
            <w:vAlign w:val="center"/>
          </w:tcPr>
          <w:p w14:paraId="57EF71BC">
            <w:pPr>
              <w:adjustRightInd w:val="0"/>
              <w:snapToGrid w:val="0"/>
              <w:jc w:val="center"/>
              <w:rPr>
                <w:rFonts w:hint="eastAsia"/>
                <w:color w:val="000000"/>
                <w:szCs w:val="21"/>
              </w:rPr>
            </w:pPr>
          </w:p>
        </w:tc>
        <w:tc>
          <w:tcPr>
            <w:tcW w:w="1321" w:type="dxa"/>
            <w:shd w:val="clear" w:color="auto" w:fill="auto"/>
            <w:vAlign w:val="center"/>
          </w:tcPr>
          <w:p w14:paraId="2061908F">
            <w:pPr>
              <w:adjustRightInd w:val="0"/>
              <w:snapToGrid w:val="0"/>
              <w:jc w:val="center"/>
              <w:rPr>
                <w:rFonts w:hint="eastAsia"/>
                <w:color w:val="000000"/>
                <w:szCs w:val="21"/>
              </w:rPr>
            </w:pPr>
          </w:p>
        </w:tc>
        <w:tc>
          <w:tcPr>
            <w:tcW w:w="1854" w:type="dxa"/>
            <w:shd w:val="clear" w:color="auto" w:fill="auto"/>
            <w:vAlign w:val="center"/>
          </w:tcPr>
          <w:p w14:paraId="012004A3">
            <w:pPr>
              <w:adjustRightInd w:val="0"/>
              <w:snapToGrid w:val="0"/>
              <w:jc w:val="center"/>
              <w:rPr>
                <w:rFonts w:hint="eastAsia"/>
                <w:color w:val="000000"/>
                <w:szCs w:val="21"/>
              </w:rPr>
            </w:pPr>
          </w:p>
        </w:tc>
      </w:tr>
      <w:tr w14:paraId="5D37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2A1DD8">
            <w:pPr>
              <w:adjustRightInd w:val="0"/>
              <w:snapToGrid w:val="0"/>
              <w:jc w:val="center"/>
              <w:rPr>
                <w:rFonts w:hint="eastAsia"/>
                <w:color w:val="000000"/>
                <w:szCs w:val="21"/>
              </w:rPr>
            </w:pPr>
            <w:r>
              <w:rPr>
                <w:rFonts w:hint="eastAsia"/>
                <w:color w:val="000000"/>
                <w:szCs w:val="21"/>
              </w:rPr>
              <w:t>2</w:t>
            </w:r>
          </w:p>
        </w:tc>
        <w:tc>
          <w:tcPr>
            <w:tcW w:w="1322" w:type="dxa"/>
            <w:shd w:val="clear" w:color="auto" w:fill="auto"/>
            <w:vAlign w:val="center"/>
          </w:tcPr>
          <w:p w14:paraId="0FFFFD86">
            <w:pPr>
              <w:adjustRightInd w:val="0"/>
              <w:snapToGrid w:val="0"/>
              <w:jc w:val="center"/>
              <w:rPr>
                <w:rFonts w:hint="eastAsia"/>
                <w:color w:val="000000"/>
                <w:szCs w:val="21"/>
              </w:rPr>
            </w:pPr>
          </w:p>
        </w:tc>
        <w:tc>
          <w:tcPr>
            <w:tcW w:w="1131" w:type="dxa"/>
            <w:shd w:val="clear" w:color="auto" w:fill="auto"/>
            <w:vAlign w:val="center"/>
          </w:tcPr>
          <w:p w14:paraId="68362726">
            <w:pPr>
              <w:adjustRightInd w:val="0"/>
              <w:snapToGrid w:val="0"/>
              <w:jc w:val="center"/>
              <w:rPr>
                <w:rFonts w:hint="eastAsia"/>
                <w:color w:val="000000"/>
                <w:szCs w:val="21"/>
              </w:rPr>
            </w:pPr>
          </w:p>
        </w:tc>
        <w:tc>
          <w:tcPr>
            <w:tcW w:w="1468" w:type="dxa"/>
            <w:shd w:val="clear" w:color="auto" w:fill="auto"/>
            <w:vAlign w:val="center"/>
          </w:tcPr>
          <w:p w14:paraId="3ED1F37C">
            <w:pPr>
              <w:adjustRightInd w:val="0"/>
              <w:snapToGrid w:val="0"/>
              <w:jc w:val="center"/>
              <w:rPr>
                <w:rFonts w:hint="eastAsia"/>
                <w:color w:val="000000"/>
                <w:szCs w:val="21"/>
              </w:rPr>
            </w:pPr>
          </w:p>
        </w:tc>
        <w:tc>
          <w:tcPr>
            <w:tcW w:w="1430" w:type="dxa"/>
            <w:shd w:val="clear" w:color="auto" w:fill="auto"/>
            <w:vAlign w:val="center"/>
          </w:tcPr>
          <w:p w14:paraId="6A5AFC8F">
            <w:pPr>
              <w:adjustRightInd w:val="0"/>
              <w:snapToGrid w:val="0"/>
              <w:jc w:val="center"/>
              <w:rPr>
                <w:rFonts w:hint="eastAsia"/>
                <w:color w:val="000000"/>
                <w:szCs w:val="21"/>
              </w:rPr>
            </w:pPr>
          </w:p>
        </w:tc>
        <w:tc>
          <w:tcPr>
            <w:tcW w:w="1321" w:type="dxa"/>
            <w:shd w:val="clear" w:color="auto" w:fill="auto"/>
            <w:vAlign w:val="center"/>
          </w:tcPr>
          <w:p w14:paraId="2C69487C">
            <w:pPr>
              <w:adjustRightInd w:val="0"/>
              <w:snapToGrid w:val="0"/>
              <w:jc w:val="center"/>
              <w:rPr>
                <w:rFonts w:hint="eastAsia"/>
                <w:color w:val="000000"/>
                <w:szCs w:val="21"/>
              </w:rPr>
            </w:pPr>
          </w:p>
        </w:tc>
        <w:tc>
          <w:tcPr>
            <w:tcW w:w="1854" w:type="dxa"/>
            <w:shd w:val="clear" w:color="auto" w:fill="auto"/>
            <w:vAlign w:val="center"/>
          </w:tcPr>
          <w:p w14:paraId="3154F399">
            <w:pPr>
              <w:adjustRightInd w:val="0"/>
              <w:snapToGrid w:val="0"/>
              <w:jc w:val="center"/>
              <w:rPr>
                <w:rFonts w:hint="eastAsia"/>
                <w:color w:val="000000"/>
                <w:szCs w:val="21"/>
              </w:rPr>
            </w:pPr>
          </w:p>
        </w:tc>
      </w:tr>
      <w:tr w14:paraId="168D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7F5C392">
            <w:pPr>
              <w:adjustRightInd w:val="0"/>
              <w:snapToGrid w:val="0"/>
              <w:jc w:val="center"/>
              <w:rPr>
                <w:rFonts w:hint="eastAsia"/>
                <w:color w:val="000000"/>
                <w:szCs w:val="21"/>
              </w:rPr>
            </w:pPr>
            <w:r>
              <w:rPr>
                <w:rFonts w:hint="eastAsia"/>
                <w:color w:val="000000"/>
                <w:szCs w:val="21"/>
              </w:rPr>
              <w:t>3</w:t>
            </w:r>
          </w:p>
        </w:tc>
        <w:tc>
          <w:tcPr>
            <w:tcW w:w="1322" w:type="dxa"/>
            <w:shd w:val="clear" w:color="auto" w:fill="auto"/>
            <w:vAlign w:val="center"/>
          </w:tcPr>
          <w:p w14:paraId="74F6D743">
            <w:pPr>
              <w:adjustRightInd w:val="0"/>
              <w:snapToGrid w:val="0"/>
              <w:jc w:val="center"/>
              <w:rPr>
                <w:rFonts w:hint="eastAsia"/>
                <w:color w:val="000000"/>
                <w:szCs w:val="21"/>
              </w:rPr>
            </w:pPr>
          </w:p>
        </w:tc>
        <w:tc>
          <w:tcPr>
            <w:tcW w:w="1131" w:type="dxa"/>
            <w:shd w:val="clear" w:color="auto" w:fill="auto"/>
            <w:vAlign w:val="center"/>
          </w:tcPr>
          <w:p w14:paraId="2BE52530">
            <w:pPr>
              <w:adjustRightInd w:val="0"/>
              <w:snapToGrid w:val="0"/>
              <w:jc w:val="center"/>
              <w:rPr>
                <w:rFonts w:hint="eastAsia"/>
                <w:color w:val="000000"/>
                <w:szCs w:val="21"/>
              </w:rPr>
            </w:pPr>
          </w:p>
        </w:tc>
        <w:tc>
          <w:tcPr>
            <w:tcW w:w="1468" w:type="dxa"/>
            <w:shd w:val="clear" w:color="auto" w:fill="auto"/>
            <w:vAlign w:val="center"/>
          </w:tcPr>
          <w:p w14:paraId="34E9833B">
            <w:pPr>
              <w:adjustRightInd w:val="0"/>
              <w:snapToGrid w:val="0"/>
              <w:jc w:val="center"/>
              <w:rPr>
                <w:rFonts w:hint="eastAsia"/>
                <w:color w:val="000000"/>
                <w:szCs w:val="21"/>
              </w:rPr>
            </w:pPr>
          </w:p>
        </w:tc>
        <w:tc>
          <w:tcPr>
            <w:tcW w:w="1430" w:type="dxa"/>
            <w:shd w:val="clear" w:color="auto" w:fill="auto"/>
            <w:vAlign w:val="center"/>
          </w:tcPr>
          <w:p w14:paraId="551813C1">
            <w:pPr>
              <w:adjustRightInd w:val="0"/>
              <w:snapToGrid w:val="0"/>
              <w:jc w:val="center"/>
              <w:rPr>
                <w:rFonts w:hint="eastAsia"/>
                <w:color w:val="000000"/>
                <w:szCs w:val="21"/>
              </w:rPr>
            </w:pPr>
          </w:p>
        </w:tc>
        <w:tc>
          <w:tcPr>
            <w:tcW w:w="1321" w:type="dxa"/>
            <w:shd w:val="clear" w:color="auto" w:fill="auto"/>
            <w:vAlign w:val="center"/>
          </w:tcPr>
          <w:p w14:paraId="0354A881">
            <w:pPr>
              <w:adjustRightInd w:val="0"/>
              <w:snapToGrid w:val="0"/>
              <w:jc w:val="center"/>
              <w:rPr>
                <w:rFonts w:hint="eastAsia"/>
                <w:color w:val="000000"/>
                <w:szCs w:val="21"/>
              </w:rPr>
            </w:pPr>
          </w:p>
        </w:tc>
        <w:tc>
          <w:tcPr>
            <w:tcW w:w="1854" w:type="dxa"/>
            <w:shd w:val="clear" w:color="auto" w:fill="auto"/>
            <w:vAlign w:val="center"/>
          </w:tcPr>
          <w:p w14:paraId="56ED69AF">
            <w:pPr>
              <w:adjustRightInd w:val="0"/>
              <w:snapToGrid w:val="0"/>
              <w:jc w:val="center"/>
              <w:rPr>
                <w:rFonts w:hint="eastAsia"/>
                <w:color w:val="000000"/>
                <w:szCs w:val="21"/>
              </w:rPr>
            </w:pPr>
          </w:p>
        </w:tc>
      </w:tr>
      <w:tr w14:paraId="7356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CF7497">
            <w:pPr>
              <w:adjustRightInd w:val="0"/>
              <w:snapToGrid w:val="0"/>
              <w:jc w:val="center"/>
              <w:rPr>
                <w:rFonts w:hint="eastAsia"/>
                <w:color w:val="000000"/>
                <w:szCs w:val="21"/>
              </w:rPr>
            </w:pPr>
            <w:r>
              <w:rPr>
                <w:rFonts w:hint="eastAsia"/>
                <w:color w:val="000000"/>
                <w:szCs w:val="21"/>
              </w:rPr>
              <w:t>4</w:t>
            </w:r>
          </w:p>
        </w:tc>
        <w:tc>
          <w:tcPr>
            <w:tcW w:w="1322" w:type="dxa"/>
            <w:shd w:val="clear" w:color="auto" w:fill="auto"/>
            <w:vAlign w:val="center"/>
          </w:tcPr>
          <w:p w14:paraId="38B19F16">
            <w:pPr>
              <w:adjustRightInd w:val="0"/>
              <w:snapToGrid w:val="0"/>
              <w:jc w:val="center"/>
              <w:rPr>
                <w:rFonts w:hint="eastAsia"/>
                <w:color w:val="000000"/>
                <w:szCs w:val="21"/>
              </w:rPr>
            </w:pPr>
          </w:p>
        </w:tc>
        <w:tc>
          <w:tcPr>
            <w:tcW w:w="1131" w:type="dxa"/>
            <w:shd w:val="clear" w:color="auto" w:fill="auto"/>
            <w:vAlign w:val="center"/>
          </w:tcPr>
          <w:p w14:paraId="1B177BFD">
            <w:pPr>
              <w:adjustRightInd w:val="0"/>
              <w:snapToGrid w:val="0"/>
              <w:jc w:val="center"/>
              <w:rPr>
                <w:rFonts w:hint="eastAsia"/>
                <w:color w:val="000000"/>
                <w:szCs w:val="21"/>
              </w:rPr>
            </w:pPr>
          </w:p>
        </w:tc>
        <w:tc>
          <w:tcPr>
            <w:tcW w:w="1468" w:type="dxa"/>
            <w:shd w:val="clear" w:color="auto" w:fill="auto"/>
            <w:vAlign w:val="center"/>
          </w:tcPr>
          <w:p w14:paraId="55757878">
            <w:pPr>
              <w:adjustRightInd w:val="0"/>
              <w:snapToGrid w:val="0"/>
              <w:jc w:val="center"/>
              <w:rPr>
                <w:rFonts w:hint="eastAsia"/>
                <w:color w:val="000000"/>
                <w:szCs w:val="21"/>
              </w:rPr>
            </w:pPr>
          </w:p>
        </w:tc>
        <w:tc>
          <w:tcPr>
            <w:tcW w:w="1430" w:type="dxa"/>
            <w:shd w:val="clear" w:color="auto" w:fill="auto"/>
            <w:vAlign w:val="center"/>
          </w:tcPr>
          <w:p w14:paraId="028494D0">
            <w:pPr>
              <w:adjustRightInd w:val="0"/>
              <w:snapToGrid w:val="0"/>
              <w:jc w:val="center"/>
              <w:rPr>
                <w:rFonts w:hint="eastAsia"/>
                <w:color w:val="000000"/>
                <w:szCs w:val="21"/>
              </w:rPr>
            </w:pPr>
          </w:p>
        </w:tc>
        <w:tc>
          <w:tcPr>
            <w:tcW w:w="1321" w:type="dxa"/>
            <w:shd w:val="clear" w:color="auto" w:fill="auto"/>
            <w:vAlign w:val="center"/>
          </w:tcPr>
          <w:p w14:paraId="30B90524">
            <w:pPr>
              <w:adjustRightInd w:val="0"/>
              <w:snapToGrid w:val="0"/>
              <w:jc w:val="center"/>
              <w:rPr>
                <w:rFonts w:hint="eastAsia"/>
                <w:color w:val="000000"/>
                <w:szCs w:val="21"/>
              </w:rPr>
            </w:pPr>
          </w:p>
        </w:tc>
        <w:tc>
          <w:tcPr>
            <w:tcW w:w="1854" w:type="dxa"/>
            <w:shd w:val="clear" w:color="auto" w:fill="auto"/>
            <w:vAlign w:val="center"/>
          </w:tcPr>
          <w:p w14:paraId="73A012A9">
            <w:pPr>
              <w:adjustRightInd w:val="0"/>
              <w:snapToGrid w:val="0"/>
              <w:jc w:val="center"/>
              <w:rPr>
                <w:rFonts w:hint="eastAsia"/>
                <w:color w:val="000000"/>
                <w:szCs w:val="21"/>
              </w:rPr>
            </w:pPr>
          </w:p>
        </w:tc>
      </w:tr>
      <w:tr w14:paraId="784F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55BF64E">
            <w:pPr>
              <w:adjustRightInd w:val="0"/>
              <w:snapToGrid w:val="0"/>
              <w:jc w:val="center"/>
              <w:rPr>
                <w:rFonts w:hint="eastAsia"/>
                <w:color w:val="000000"/>
                <w:szCs w:val="21"/>
              </w:rPr>
            </w:pPr>
            <w:r>
              <w:rPr>
                <w:rFonts w:hint="eastAsia"/>
                <w:color w:val="000000"/>
                <w:szCs w:val="21"/>
              </w:rPr>
              <w:t>5</w:t>
            </w:r>
          </w:p>
        </w:tc>
        <w:tc>
          <w:tcPr>
            <w:tcW w:w="1322" w:type="dxa"/>
            <w:shd w:val="clear" w:color="auto" w:fill="auto"/>
            <w:vAlign w:val="center"/>
          </w:tcPr>
          <w:p w14:paraId="54DE1C3D">
            <w:pPr>
              <w:adjustRightInd w:val="0"/>
              <w:snapToGrid w:val="0"/>
              <w:jc w:val="center"/>
              <w:rPr>
                <w:rFonts w:hint="eastAsia"/>
                <w:color w:val="000000"/>
                <w:szCs w:val="21"/>
              </w:rPr>
            </w:pPr>
          </w:p>
        </w:tc>
        <w:tc>
          <w:tcPr>
            <w:tcW w:w="1131" w:type="dxa"/>
            <w:shd w:val="clear" w:color="auto" w:fill="auto"/>
            <w:vAlign w:val="center"/>
          </w:tcPr>
          <w:p w14:paraId="6A0931E6">
            <w:pPr>
              <w:adjustRightInd w:val="0"/>
              <w:snapToGrid w:val="0"/>
              <w:jc w:val="center"/>
              <w:rPr>
                <w:rFonts w:hint="eastAsia"/>
                <w:color w:val="000000"/>
                <w:szCs w:val="21"/>
              </w:rPr>
            </w:pPr>
          </w:p>
        </w:tc>
        <w:tc>
          <w:tcPr>
            <w:tcW w:w="1468" w:type="dxa"/>
            <w:shd w:val="clear" w:color="auto" w:fill="auto"/>
            <w:vAlign w:val="center"/>
          </w:tcPr>
          <w:p w14:paraId="5CA38254">
            <w:pPr>
              <w:adjustRightInd w:val="0"/>
              <w:snapToGrid w:val="0"/>
              <w:jc w:val="center"/>
              <w:rPr>
                <w:rFonts w:hint="eastAsia"/>
                <w:color w:val="000000"/>
                <w:szCs w:val="21"/>
              </w:rPr>
            </w:pPr>
          </w:p>
        </w:tc>
        <w:tc>
          <w:tcPr>
            <w:tcW w:w="1430" w:type="dxa"/>
            <w:shd w:val="clear" w:color="auto" w:fill="auto"/>
            <w:vAlign w:val="center"/>
          </w:tcPr>
          <w:p w14:paraId="3A56DBD5">
            <w:pPr>
              <w:adjustRightInd w:val="0"/>
              <w:snapToGrid w:val="0"/>
              <w:jc w:val="center"/>
              <w:rPr>
                <w:rFonts w:hint="eastAsia"/>
                <w:color w:val="000000"/>
                <w:szCs w:val="21"/>
              </w:rPr>
            </w:pPr>
          </w:p>
        </w:tc>
        <w:tc>
          <w:tcPr>
            <w:tcW w:w="1321" w:type="dxa"/>
            <w:shd w:val="clear" w:color="auto" w:fill="auto"/>
            <w:vAlign w:val="center"/>
          </w:tcPr>
          <w:p w14:paraId="6C19170C">
            <w:pPr>
              <w:adjustRightInd w:val="0"/>
              <w:snapToGrid w:val="0"/>
              <w:jc w:val="center"/>
              <w:rPr>
                <w:rFonts w:hint="eastAsia"/>
                <w:color w:val="000000"/>
                <w:szCs w:val="21"/>
              </w:rPr>
            </w:pPr>
          </w:p>
        </w:tc>
        <w:tc>
          <w:tcPr>
            <w:tcW w:w="1854" w:type="dxa"/>
            <w:shd w:val="clear" w:color="auto" w:fill="auto"/>
            <w:vAlign w:val="center"/>
          </w:tcPr>
          <w:p w14:paraId="3BB87E0C">
            <w:pPr>
              <w:adjustRightInd w:val="0"/>
              <w:snapToGrid w:val="0"/>
              <w:jc w:val="center"/>
              <w:rPr>
                <w:rFonts w:hint="eastAsia"/>
                <w:color w:val="000000"/>
                <w:szCs w:val="21"/>
              </w:rPr>
            </w:pPr>
          </w:p>
        </w:tc>
      </w:tr>
      <w:tr w14:paraId="1B7E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A48F780">
            <w:pPr>
              <w:adjustRightInd w:val="0"/>
              <w:snapToGrid w:val="0"/>
              <w:jc w:val="center"/>
              <w:rPr>
                <w:rFonts w:hint="eastAsia"/>
                <w:color w:val="000000"/>
                <w:szCs w:val="21"/>
              </w:rPr>
            </w:pPr>
            <w:r>
              <w:rPr>
                <w:rFonts w:hint="eastAsia"/>
                <w:color w:val="000000"/>
                <w:szCs w:val="21"/>
              </w:rPr>
              <w:t>…</w:t>
            </w:r>
          </w:p>
        </w:tc>
        <w:tc>
          <w:tcPr>
            <w:tcW w:w="1322" w:type="dxa"/>
            <w:shd w:val="clear" w:color="auto" w:fill="auto"/>
            <w:vAlign w:val="center"/>
          </w:tcPr>
          <w:p w14:paraId="3079DC49">
            <w:pPr>
              <w:adjustRightInd w:val="0"/>
              <w:snapToGrid w:val="0"/>
              <w:jc w:val="center"/>
              <w:rPr>
                <w:rFonts w:hint="eastAsia"/>
                <w:color w:val="000000"/>
                <w:szCs w:val="21"/>
              </w:rPr>
            </w:pPr>
          </w:p>
        </w:tc>
        <w:tc>
          <w:tcPr>
            <w:tcW w:w="1131" w:type="dxa"/>
            <w:shd w:val="clear" w:color="auto" w:fill="auto"/>
            <w:vAlign w:val="center"/>
          </w:tcPr>
          <w:p w14:paraId="69899497">
            <w:pPr>
              <w:adjustRightInd w:val="0"/>
              <w:snapToGrid w:val="0"/>
              <w:jc w:val="center"/>
              <w:rPr>
                <w:rFonts w:hint="eastAsia"/>
                <w:color w:val="000000"/>
                <w:szCs w:val="21"/>
              </w:rPr>
            </w:pPr>
          </w:p>
        </w:tc>
        <w:tc>
          <w:tcPr>
            <w:tcW w:w="1468" w:type="dxa"/>
            <w:shd w:val="clear" w:color="auto" w:fill="auto"/>
            <w:vAlign w:val="center"/>
          </w:tcPr>
          <w:p w14:paraId="344F7B5C">
            <w:pPr>
              <w:adjustRightInd w:val="0"/>
              <w:snapToGrid w:val="0"/>
              <w:jc w:val="center"/>
              <w:rPr>
                <w:rFonts w:hint="eastAsia"/>
                <w:color w:val="000000"/>
                <w:szCs w:val="21"/>
              </w:rPr>
            </w:pPr>
          </w:p>
        </w:tc>
        <w:tc>
          <w:tcPr>
            <w:tcW w:w="1430" w:type="dxa"/>
            <w:shd w:val="clear" w:color="auto" w:fill="auto"/>
            <w:vAlign w:val="center"/>
          </w:tcPr>
          <w:p w14:paraId="425CA524">
            <w:pPr>
              <w:adjustRightInd w:val="0"/>
              <w:snapToGrid w:val="0"/>
              <w:jc w:val="center"/>
              <w:rPr>
                <w:rFonts w:hint="eastAsia"/>
                <w:color w:val="000000"/>
                <w:szCs w:val="21"/>
              </w:rPr>
            </w:pPr>
          </w:p>
        </w:tc>
        <w:tc>
          <w:tcPr>
            <w:tcW w:w="1321" w:type="dxa"/>
            <w:shd w:val="clear" w:color="auto" w:fill="auto"/>
            <w:vAlign w:val="center"/>
          </w:tcPr>
          <w:p w14:paraId="676BC90F">
            <w:pPr>
              <w:adjustRightInd w:val="0"/>
              <w:snapToGrid w:val="0"/>
              <w:jc w:val="center"/>
              <w:rPr>
                <w:rFonts w:hint="eastAsia"/>
                <w:color w:val="000000"/>
                <w:szCs w:val="21"/>
              </w:rPr>
            </w:pPr>
          </w:p>
        </w:tc>
        <w:tc>
          <w:tcPr>
            <w:tcW w:w="1854" w:type="dxa"/>
            <w:shd w:val="clear" w:color="auto" w:fill="auto"/>
            <w:vAlign w:val="center"/>
          </w:tcPr>
          <w:p w14:paraId="59316551">
            <w:pPr>
              <w:adjustRightInd w:val="0"/>
              <w:snapToGrid w:val="0"/>
              <w:jc w:val="center"/>
              <w:rPr>
                <w:rFonts w:hint="eastAsia"/>
                <w:color w:val="000000"/>
                <w:szCs w:val="21"/>
              </w:rPr>
            </w:pPr>
          </w:p>
        </w:tc>
      </w:tr>
      <w:tr w14:paraId="7396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617" w:type="dxa"/>
            <w:gridSpan w:val="4"/>
            <w:shd w:val="clear" w:color="auto" w:fill="auto"/>
            <w:vAlign w:val="center"/>
          </w:tcPr>
          <w:p w14:paraId="2EFC004B">
            <w:pPr>
              <w:adjustRightInd w:val="0"/>
              <w:snapToGrid w:val="0"/>
              <w:jc w:val="center"/>
              <w:rPr>
                <w:rFonts w:hint="eastAsia"/>
                <w:color w:val="000000"/>
                <w:szCs w:val="21"/>
              </w:rPr>
            </w:pPr>
            <w:r>
              <w:rPr>
                <w:rFonts w:hint="eastAsia"/>
                <w:color w:val="000000"/>
                <w:szCs w:val="21"/>
              </w:rPr>
              <w:t>合计</w:t>
            </w:r>
          </w:p>
        </w:tc>
        <w:tc>
          <w:tcPr>
            <w:tcW w:w="1430" w:type="dxa"/>
            <w:shd w:val="clear" w:color="auto" w:fill="auto"/>
            <w:vAlign w:val="center"/>
          </w:tcPr>
          <w:p w14:paraId="089040A4">
            <w:pPr>
              <w:adjustRightInd w:val="0"/>
              <w:snapToGrid w:val="0"/>
              <w:jc w:val="center"/>
              <w:rPr>
                <w:rFonts w:hint="eastAsia"/>
                <w:color w:val="000000"/>
                <w:szCs w:val="21"/>
              </w:rPr>
            </w:pPr>
          </w:p>
        </w:tc>
        <w:tc>
          <w:tcPr>
            <w:tcW w:w="1321" w:type="dxa"/>
            <w:shd w:val="clear" w:color="auto" w:fill="auto"/>
            <w:vAlign w:val="center"/>
          </w:tcPr>
          <w:p w14:paraId="5C8CC1F2">
            <w:pPr>
              <w:adjustRightInd w:val="0"/>
              <w:snapToGrid w:val="0"/>
              <w:jc w:val="center"/>
              <w:rPr>
                <w:rFonts w:hint="eastAsia"/>
                <w:color w:val="000000"/>
                <w:szCs w:val="21"/>
              </w:rPr>
            </w:pPr>
          </w:p>
        </w:tc>
        <w:tc>
          <w:tcPr>
            <w:tcW w:w="1854" w:type="dxa"/>
            <w:shd w:val="clear" w:color="auto" w:fill="auto"/>
            <w:vAlign w:val="center"/>
          </w:tcPr>
          <w:p w14:paraId="44FE5B9B">
            <w:pPr>
              <w:adjustRightInd w:val="0"/>
              <w:snapToGrid w:val="0"/>
              <w:jc w:val="center"/>
              <w:rPr>
                <w:rFonts w:hint="eastAsia"/>
                <w:color w:val="000000"/>
                <w:szCs w:val="21"/>
              </w:rPr>
            </w:pPr>
          </w:p>
        </w:tc>
      </w:tr>
    </w:tbl>
    <w:p w14:paraId="7595E0B0">
      <w:pPr>
        <w:wordWrap w:val="0"/>
        <w:adjustRightInd w:val="0"/>
        <w:snapToGrid w:val="0"/>
        <w:spacing w:line="360" w:lineRule="auto"/>
        <w:ind w:firstLine="480" w:firstLineChars="200"/>
        <w:rPr>
          <w:rFonts w:hint="eastAsia"/>
          <w:color w:val="000000" w:themeColor="text1"/>
          <w14:textFill>
            <w14:solidFill>
              <w14:schemeClr w14:val="tx1"/>
            </w14:solidFill>
          </w14:textFill>
        </w:rPr>
      </w:pPr>
    </w:p>
    <w:p w14:paraId="462457C8">
      <w:pPr>
        <w:wordWrap w:val="0"/>
        <w:adjustRightInd w:val="0"/>
        <w:snapToGrid w:val="0"/>
        <w:spacing w:line="360" w:lineRule="auto"/>
        <w:ind w:firstLine="480" w:firstLineChars="200"/>
        <w:rPr>
          <w:rFonts w:hint="eastAsia"/>
          <w:color w:val="000000" w:themeColor="text1"/>
          <w14:textFill>
            <w14:solidFill>
              <w14:schemeClr w14:val="tx1"/>
            </w14:solidFill>
          </w14:textFill>
        </w:rPr>
      </w:pPr>
    </w:p>
    <w:p w14:paraId="211A5899">
      <w:pPr>
        <w:wordWrap w:val="0"/>
        <w:adjustRightInd w:val="0"/>
        <w:snapToGrid w:val="0"/>
        <w:spacing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w:t>
      </w:r>
    </w:p>
    <w:p w14:paraId="5611160E">
      <w:pPr>
        <w:wordWrap w:val="0"/>
        <w:adjustRightInd w:val="0"/>
        <w:snapToGrid w:val="0"/>
        <w:spacing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业绩证明材料依次附于此表后。</w:t>
      </w:r>
      <w:r>
        <w:rPr>
          <w:rFonts w:hint="eastAsia"/>
          <w:bCs/>
          <w:color w:val="000000" w:themeColor="text1"/>
          <w14:textFill>
            <w14:solidFill>
              <w14:schemeClr w14:val="tx1"/>
            </w14:solidFill>
          </w14:textFill>
        </w:rPr>
        <w:t>证明材料根据“第三章评审办法”及“第</w:t>
      </w:r>
      <w:r>
        <w:rPr>
          <w:rFonts w:hint="eastAsia"/>
          <w:bCs/>
          <w:color w:val="000000" w:themeColor="text1"/>
          <w:lang w:val="en-US" w:eastAsia="zh-CN"/>
          <w14:textFill>
            <w14:solidFill>
              <w14:schemeClr w14:val="tx1"/>
            </w14:solidFill>
          </w14:textFill>
        </w:rPr>
        <w:t>四</w:t>
      </w:r>
      <w:r>
        <w:rPr>
          <w:rFonts w:hint="eastAsia"/>
          <w:bCs/>
          <w:color w:val="000000" w:themeColor="text1"/>
          <w14:textFill>
            <w14:solidFill>
              <w14:schemeClr w14:val="tx1"/>
            </w14:solidFill>
          </w14:textFill>
        </w:rPr>
        <w:t>章技术规范书”</w:t>
      </w:r>
      <w:r>
        <w:rPr>
          <w:rFonts w:hint="eastAsia"/>
          <w:color w:val="000000" w:themeColor="text1"/>
          <w14:textFill>
            <w14:solidFill>
              <w14:schemeClr w14:val="tx1"/>
            </w14:solidFill>
          </w14:textFill>
        </w:rPr>
        <w:t>要求进行提供。</w:t>
      </w:r>
    </w:p>
    <w:p w14:paraId="62174B80">
      <w:pPr>
        <w:wordWrap w:val="0"/>
        <w:adjustRightInd w:val="0"/>
        <w:snapToGrid w:val="0"/>
        <w:spacing w:line="360" w:lineRule="auto"/>
        <w:ind w:firstLine="480" w:firstLineChars="200"/>
        <w:rPr>
          <w:rFonts w:hint="eastAsia"/>
          <w:color w:val="000000" w:themeColor="text1"/>
          <w:lang w:val="zh-CN"/>
          <w14:textFill>
            <w14:solidFill>
              <w14:schemeClr w14:val="tx1"/>
            </w14:solidFill>
          </w14:textFill>
        </w:rPr>
      </w:pPr>
      <w:r>
        <w:rPr>
          <w:rFonts w:hint="eastAsia"/>
          <w:color w:val="000000" w:themeColor="text1"/>
          <w14:textFill>
            <w14:solidFill>
              <w14:schemeClr w14:val="tx1"/>
            </w14:solidFill>
          </w14:textFill>
        </w:rPr>
        <w:t>2.业绩证明材料:提供合同关键页扫描件【合同首页、金额页(框架合同无具体金额予以认可)、体现合同主要内容页、签字盖章页】,框架合同应提供对应业绩订单或结算单(结算单,订单应加盖合同甲方的公章或使用部门章)。</w:t>
      </w:r>
    </w:p>
    <w:bookmarkEnd w:id="164"/>
    <w:p w14:paraId="12A8B845">
      <w:pPr>
        <w:rPr>
          <w:rFonts w:hint="eastAsia"/>
          <w:lang w:val="zh-CN"/>
        </w:rPr>
      </w:pPr>
    </w:p>
    <w:p w14:paraId="4428B8CF">
      <w:pPr>
        <w:rPr>
          <w:rFonts w:hint="eastAsia"/>
          <w:lang w:val="zh-CN"/>
        </w:rPr>
      </w:pPr>
    </w:p>
    <w:p w14:paraId="23987386">
      <w:pPr>
        <w:rPr>
          <w:rFonts w:hint="eastAsia"/>
          <w:lang w:val="zh-CN"/>
        </w:rPr>
      </w:pPr>
      <w:r>
        <w:rPr>
          <w:rFonts w:hint="eastAsia"/>
          <w:lang w:val="zh-CN"/>
        </w:rPr>
        <w:br w:type="page"/>
      </w:r>
    </w:p>
    <w:p w14:paraId="7D8B193E">
      <w:pPr>
        <w:pStyle w:val="3"/>
      </w:pPr>
      <w:r>
        <w:rPr>
          <w:rFonts w:hint="eastAsia"/>
        </w:rPr>
        <w:t>人员配备情况说明</w:t>
      </w:r>
    </w:p>
    <w:p w14:paraId="37CCCCFE">
      <w:pPr>
        <w:wordWrap w:val="0"/>
        <w:adjustRightInd w:val="0"/>
        <w:snapToGrid w:val="0"/>
        <w:spacing w:line="360" w:lineRule="auto"/>
        <w:jc w:val="center"/>
        <w:rPr>
          <w:rFonts w:hint="eastAsia"/>
          <w:color w:val="000000" w:themeColor="text1"/>
          <w14:textFill>
            <w14:solidFill>
              <w14:schemeClr w14:val="tx1"/>
            </w14:solidFill>
          </w14:textFill>
        </w:rPr>
      </w:pPr>
    </w:p>
    <w:p w14:paraId="073CA1D4">
      <w:pPr>
        <w:wordWrap w:val="0"/>
        <w:adjustRightInd w:val="0"/>
        <w:snapToGrid w:val="0"/>
        <w:spacing w:line="360" w:lineRule="auto"/>
        <w:jc w:val="center"/>
        <w:rPr>
          <w:rFonts w:hint="eastAsia"/>
          <w:color w:val="000000" w:themeColor="text1"/>
          <w14:textFill>
            <w14:solidFill>
              <w14:schemeClr w14:val="tx1"/>
            </w14:solidFill>
          </w14:textFill>
        </w:rPr>
      </w:pPr>
    </w:p>
    <w:p w14:paraId="327EFCA2">
      <w:pPr>
        <w:wordWrap w:val="0"/>
        <w:adjustRightInd w:val="0"/>
        <w:snapToGrid w:val="0"/>
        <w:spacing w:line="360"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项目经理简历表</w:t>
      </w:r>
    </w:p>
    <w:tbl>
      <w:tblPr>
        <w:tblStyle w:val="3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1453"/>
        <w:gridCol w:w="1608"/>
        <w:gridCol w:w="788"/>
        <w:gridCol w:w="1136"/>
        <w:gridCol w:w="2136"/>
        <w:gridCol w:w="1038"/>
      </w:tblGrid>
      <w:tr w14:paraId="4AAE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pct"/>
            <w:vAlign w:val="center"/>
          </w:tcPr>
          <w:p w14:paraId="121384AC">
            <w:pPr>
              <w:wordWrap w:val="0"/>
              <w:adjustRightInd w:val="0"/>
              <w:snapToGrid w:val="0"/>
              <w:spacing w:line="360" w:lineRule="auto"/>
              <w:ind w:firstLine="58"/>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姓名</w:t>
            </w:r>
          </w:p>
        </w:tc>
        <w:tc>
          <w:tcPr>
            <w:tcW w:w="734" w:type="pct"/>
            <w:vAlign w:val="center"/>
          </w:tcPr>
          <w:p w14:paraId="4BBBA0A5">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c>
          <w:tcPr>
            <w:tcW w:w="812" w:type="pct"/>
            <w:vAlign w:val="center"/>
          </w:tcPr>
          <w:p w14:paraId="6B531AA3">
            <w:pPr>
              <w:wordWrap w:val="0"/>
              <w:adjustRightInd w:val="0"/>
              <w:snapToGrid w:val="0"/>
              <w:spacing w:line="360" w:lineRule="auto"/>
              <w:ind w:left="-153" w:firstLine="39"/>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性别</w:t>
            </w:r>
          </w:p>
        </w:tc>
        <w:tc>
          <w:tcPr>
            <w:tcW w:w="972" w:type="pct"/>
            <w:gridSpan w:val="2"/>
            <w:vAlign w:val="center"/>
          </w:tcPr>
          <w:p w14:paraId="5DE2B50A">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c>
          <w:tcPr>
            <w:tcW w:w="1079" w:type="pct"/>
            <w:vAlign w:val="center"/>
          </w:tcPr>
          <w:p w14:paraId="1EADAA1A">
            <w:pPr>
              <w:wordWrap w:val="0"/>
              <w:adjustRightInd w:val="0"/>
              <w:snapToGrid w:val="0"/>
              <w:spacing w:line="360" w:lineRule="auto"/>
              <w:ind w:left="-153" w:firstLine="39"/>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年龄</w:t>
            </w:r>
          </w:p>
        </w:tc>
        <w:tc>
          <w:tcPr>
            <w:tcW w:w="523" w:type="pct"/>
            <w:vAlign w:val="center"/>
          </w:tcPr>
          <w:p w14:paraId="50980884">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r>
      <w:tr w14:paraId="0A16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pct"/>
            <w:vAlign w:val="center"/>
          </w:tcPr>
          <w:p w14:paraId="7E9AF34B">
            <w:pPr>
              <w:wordWrap w:val="0"/>
              <w:adjustRightInd w:val="0"/>
              <w:snapToGrid w:val="0"/>
              <w:spacing w:line="360" w:lineRule="auto"/>
              <w:ind w:firstLine="58"/>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职务</w:t>
            </w:r>
          </w:p>
        </w:tc>
        <w:tc>
          <w:tcPr>
            <w:tcW w:w="734" w:type="pct"/>
            <w:vAlign w:val="center"/>
          </w:tcPr>
          <w:p w14:paraId="6FAC3C5C">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c>
          <w:tcPr>
            <w:tcW w:w="812" w:type="pct"/>
            <w:vAlign w:val="center"/>
          </w:tcPr>
          <w:p w14:paraId="20292286">
            <w:pPr>
              <w:wordWrap w:val="0"/>
              <w:adjustRightInd w:val="0"/>
              <w:snapToGrid w:val="0"/>
              <w:spacing w:line="360" w:lineRule="auto"/>
              <w:ind w:left="-153" w:firstLine="39"/>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职称</w:t>
            </w:r>
          </w:p>
        </w:tc>
        <w:tc>
          <w:tcPr>
            <w:tcW w:w="972" w:type="pct"/>
            <w:gridSpan w:val="2"/>
            <w:vAlign w:val="center"/>
          </w:tcPr>
          <w:p w14:paraId="432A9F78">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c>
          <w:tcPr>
            <w:tcW w:w="1079" w:type="pct"/>
            <w:vAlign w:val="center"/>
          </w:tcPr>
          <w:p w14:paraId="2C841757">
            <w:pPr>
              <w:wordWrap w:val="0"/>
              <w:adjustRightInd w:val="0"/>
              <w:snapToGrid w:val="0"/>
              <w:spacing w:line="360" w:lineRule="auto"/>
              <w:ind w:left="-153" w:firstLine="39"/>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学历</w:t>
            </w:r>
          </w:p>
        </w:tc>
        <w:tc>
          <w:tcPr>
            <w:tcW w:w="523" w:type="pct"/>
            <w:vAlign w:val="center"/>
          </w:tcPr>
          <w:p w14:paraId="42E2B98C">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r>
      <w:tr w14:paraId="6A7E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pct"/>
            <w:vAlign w:val="center"/>
          </w:tcPr>
          <w:p w14:paraId="58A78B5F">
            <w:pPr>
              <w:wordWrap w:val="0"/>
              <w:adjustRightInd w:val="0"/>
              <w:snapToGrid w:val="0"/>
              <w:spacing w:line="360" w:lineRule="auto"/>
              <w:ind w:firstLine="58"/>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参加工作时间</w:t>
            </w:r>
          </w:p>
        </w:tc>
        <w:tc>
          <w:tcPr>
            <w:tcW w:w="734" w:type="pct"/>
            <w:vAlign w:val="center"/>
          </w:tcPr>
          <w:p w14:paraId="615BB0A6">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c>
          <w:tcPr>
            <w:tcW w:w="1210" w:type="pct"/>
            <w:gridSpan w:val="2"/>
            <w:vAlign w:val="center"/>
          </w:tcPr>
          <w:p w14:paraId="26E20E87">
            <w:pPr>
              <w:wordWrap w:val="0"/>
              <w:adjustRightInd w:val="0"/>
              <w:snapToGrid w:val="0"/>
              <w:spacing w:line="360" w:lineRule="auto"/>
              <w:ind w:left="-153" w:firstLine="39"/>
              <w:jc w:val="center"/>
              <w:rPr>
                <w:rFonts w:hint="eastAsia"/>
                <w:color w:val="000000" w:themeColor="text1"/>
                <w:spacing w:val="-2"/>
                <w:szCs w:val="21"/>
                <w14:textFill>
                  <w14:solidFill>
                    <w14:schemeClr w14:val="tx1"/>
                  </w14:solidFill>
                </w14:textFill>
              </w:rPr>
            </w:pPr>
            <w:r>
              <w:rPr>
                <w:rFonts w:hint="eastAsia"/>
                <w:color w:val="000000" w:themeColor="text1"/>
                <w:spacing w:val="-2"/>
                <w:szCs w:val="21"/>
                <w14:textFill>
                  <w14:solidFill>
                    <w14:schemeClr w14:val="tx1"/>
                  </w14:solidFill>
                </w14:textFill>
              </w:rPr>
              <w:t>从事与本项目相关工作的年限</w:t>
            </w:r>
          </w:p>
        </w:tc>
        <w:tc>
          <w:tcPr>
            <w:tcW w:w="2177" w:type="pct"/>
            <w:gridSpan w:val="3"/>
            <w:vAlign w:val="center"/>
          </w:tcPr>
          <w:p w14:paraId="6E80C7F3">
            <w:pPr>
              <w:wordWrap w:val="0"/>
              <w:adjustRightInd w:val="0"/>
              <w:snapToGrid w:val="0"/>
              <w:spacing w:line="360" w:lineRule="auto"/>
              <w:ind w:left="-46" w:hanging="107"/>
              <w:jc w:val="center"/>
              <w:rPr>
                <w:rFonts w:hint="eastAsia"/>
                <w:color w:val="000000" w:themeColor="text1"/>
                <w:spacing w:val="-2"/>
                <w:szCs w:val="21"/>
                <w14:textFill>
                  <w14:solidFill>
                    <w14:schemeClr w14:val="tx1"/>
                  </w14:solidFill>
                </w14:textFill>
              </w:rPr>
            </w:pPr>
          </w:p>
        </w:tc>
      </w:tr>
    </w:tbl>
    <w:p w14:paraId="1406C349">
      <w:pPr>
        <w:wordWrap w:val="0"/>
        <w:adjustRightInd w:val="0"/>
        <w:snapToGrid w:val="0"/>
        <w:spacing w:line="360" w:lineRule="auto"/>
        <w:ind w:firstLine="480" w:firstLineChars="200"/>
        <w:rPr>
          <w:rFonts w:hint="eastAsia"/>
          <w:color w:val="000000" w:themeColor="text1"/>
          <w14:textFill>
            <w14:solidFill>
              <w14:schemeClr w14:val="tx1"/>
            </w14:solidFill>
          </w14:textFill>
        </w:rPr>
      </w:pPr>
    </w:p>
    <w:p w14:paraId="2F5DEB16">
      <w:pPr>
        <w:wordWrap w:val="0"/>
        <w:adjustRightInd w:val="0"/>
        <w:snapToGrid w:val="0"/>
        <w:spacing w:line="360" w:lineRule="auto"/>
        <w:ind w:firstLine="480" w:firstLineChars="200"/>
        <w:rPr>
          <w:rFonts w:hint="eastAsia"/>
          <w:color w:val="000000" w:themeColor="text1"/>
          <w14:textFill>
            <w14:solidFill>
              <w14:schemeClr w14:val="tx1"/>
            </w14:solidFill>
          </w14:textFill>
        </w:rPr>
      </w:pPr>
    </w:p>
    <w:p w14:paraId="5DAEF9C4">
      <w:pPr>
        <w:wordWrap w:val="0"/>
        <w:adjustRightInd w:val="0"/>
        <w:snapToGrid w:val="0"/>
        <w:spacing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备注：项目经理证明材料附于此表后。</w:t>
      </w:r>
    </w:p>
    <w:p w14:paraId="2CD8815A">
      <w:pPr>
        <w:rPr>
          <w:rFonts w:hint="eastAsia"/>
          <w:lang w:val="zh-CN"/>
        </w:rPr>
      </w:pPr>
    </w:p>
    <w:p w14:paraId="73964551">
      <w:pPr>
        <w:rPr>
          <w:rFonts w:hint="eastAsia"/>
          <w:lang w:val="zh-CN"/>
        </w:rPr>
      </w:pPr>
      <w:r>
        <w:rPr>
          <w:rFonts w:hint="eastAsia"/>
          <w:lang w:val="zh-CN"/>
        </w:rPr>
        <w:br w:type="page"/>
      </w:r>
    </w:p>
    <w:p w14:paraId="0883B1A3">
      <w:pPr>
        <w:pStyle w:val="3"/>
      </w:pPr>
      <w:r>
        <w:rPr>
          <w:rFonts w:hint="eastAsia"/>
        </w:rPr>
        <w:t>项目技术服务方案</w:t>
      </w:r>
    </w:p>
    <w:p w14:paraId="1DDE32F4">
      <w:pPr>
        <w:ind w:firstLine="480" w:firstLineChars="200"/>
        <w:rPr>
          <w:rFonts w:hint="eastAsia"/>
        </w:rPr>
      </w:pPr>
      <w:r>
        <w:rPr>
          <w:rFonts w:hint="eastAsia"/>
        </w:rPr>
        <w:t>请根据本文件《三、项目技术要求和有关说明》，</w:t>
      </w:r>
      <w:r>
        <w:rPr>
          <w:rFonts w:hint="eastAsia"/>
          <w:lang w:val="en-US" w:eastAsia="zh-CN"/>
        </w:rPr>
        <w:t>编写</w:t>
      </w:r>
      <w:r>
        <w:rPr>
          <w:rFonts w:hint="eastAsia"/>
        </w:rPr>
        <w:t>项目技术服务方案进行说明，</w:t>
      </w:r>
      <w:r>
        <w:rPr>
          <w:rFonts w:hint="eastAsia"/>
          <w:lang w:val="en-US" w:eastAsia="zh-CN"/>
        </w:rPr>
        <w:t>方案中要有安全文明施工内容，</w:t>
      </w:r>
      <w:r>
        <w:rPr>
          <w:rFonts w:hint="eastAsia"/>
        </w:rPr>
        <w:t>格式自拟。</w:t>
      </w:r>
    </w:p>
    <w:p w14:paraId="2AA9C6D3">
      <w:pPr>
        <w:rPr>
          <w:rFonts w:hint="eastAsia"/>
          <w:lang w:val="zh-CN"/>
        </w:rPr>
      </w:pPr>
    </w:p>
    <w:p w14:paraId="477B6069">
      <w:pPr>
        <w:rPr>
          <w:rFonts w:hint="eastAsia"/>
          <w:lang w:val="zh-CN"/>
        </w:rPr>
      </w:pPr>
      <w:r>
        <w:rPr>
          <w:rFonts w:hint="eastAsia"/>
          <w:lang w:val="zh-CN"/>
        </w:rPr>
        <w:br w:type="page"/>
      </w:r>
    </w:p>
    <w:p w14:paraId="51672872">
      <w:pPr>
        <w:pStyle w:val="3"/>
      </w:pPr>
      <w:r>
        <w:rPr>
          <w:rFonts w:hint="eastAsia"/>
        </w:rPr>
        <w:t>项目售后服务方案</w:t>
      </w:r>
    </w:p>
    <w:p w14:paraId="61072056">
      <w:pPr>
        <w:rPr>
          <w:rFonts w:hint="eastAsia"/>
          <w:lang w:val="zh-CN"/>
        </w:rPr>
      </w:pPr>
      <w:r>
        <w:rPr>
          <w:rFonts w:hint="eastAsia"/>
        </w:rPr>
        <w:t>请根据本文件《</w:t>
      </w:r>
      <w:r>
        <w:rPr>
          <w:rFonts w:hint="eastAsia"/>
          <w:lang w:val="en-US" w:eastAsia="zh-CN"/>
        </w:rPr>
        <w:t>四</w:t>
      </w:r>
      <w:r>
        <w:rPr>
          <w:rFonts w:hint="eastAsia"/>
        </w:rPr>
        <w:t>、项目技术要求和有关说明》，对项目售后服务方案进行说明，格式自拟。</w:t>
      </w:r>
    </w:p>
    <w:p w14:paraId="026A8124">
      <w:pPr>
        <w:rPr>
          <w:rFonts w:hint="eastAsia"/>
          <w:lang w:val="zh-CN"/>
        </w:rPr>
      </w:pPr>
      <w:r>
        <w:rPr>
          <w:rFonts w:hint="eastAsia"/>
          <w:lang w:val="zh-CN"/>
        </w:rPr>
        <w:br w:type="page"/>
      </w:r>
    </w:p>
    <w:p w14:paraId="7E239A3B">
      <w:pPr>
        <w:pStyle w:val="3"/>
        <w:rPr>
          <w:rFonts w:hint="eastAsia"/>
        </w:rPr>
      </w:pPr>
      <w:r>
        <w:rPr>
          <w:rFonts w:hint="eastAsia"/>
        </w:rPr>
        <w:t>其它</w:t>
      </w:r>
    </w:p>
    <w:p w14:paraId="4CA27166">
      <w:pPr>
        <w:autoSpaceDE w:val="0"/>
        <w:autoSpaceDN w:val="0"/>
        <w:adjustRightInd w:val="0"/>
        <w:spacing w:line="360" w:lineRule="auto"/>
        <w:ind w:firstLine="420"/>
        <w:rPr>
          <w:rFonts w:hint="eastAsia"/>
          <w:lang w:val="zh-CN"/>
        </w:rPr>
      </w:pPr>
      <w:r>
        <w:rPr>
          <w:rFonts w:hint="eastAsia"/>
          <w:lang w:val="zh-CN"/>
        </w:rPr>
        <w:t>投标人认为有必要提供的声明和文件，如有</w:t>
      </w:r>
      <w:r>
        <w:rPr>
          <w:rFonts w:hint="eastAsia"/>
        </w:rPr>
        <w:t>请</w:t>
      </w:r>
      <w:r>
        <w:rPr>
          <w:rFonts w:hint="eastAsia"/>
          <w:lang w:val="zh-CN"/>
        </w:rPr>
        <w:t>自行添加，</w:t>
      </w:r>
      <w:r>
        <w:rPr>
          <w:rFonts w:hint="eastAsia"/>
        </w:rPr>
        <w:t>格式自拟</w:t>
      </w:r>
    </w:p>
    <w:p w14:paraId="5987A638">
      <w:pPr>
        <w:rPr>
          <w:rFonts w:hint="eastAsia"/>
        </w:rPr>
      </w:pPr>
    </w:p>
    <w:sectPr>
      <w:footerReference r:id="rId3" w:type="default"/>
      <w:endnotePr>
        <w:numFmt w:val="decimal"/>
      </w:endnotePr>
      <w:pgSz w:w="11906" w:h="16838"/>
      <w:pgMar w:top="567" w:right="851" w:bottom="567" w:left="1134" w:header="624" w:footer="907"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57BF2D8-FB5D-4140-A2D2-7876A8EBE0EE}"/>
  </w:font>
  <w:font w:name="黑体">
    <w:panose1 w:val="02010609060101010101"/>
    <w:charset w:val="86"/>
    <w:family w:val="auto"/>
    <w:pitch w:val="default"/>
    <w:sig w:usb0="800002BF" w:usb1="38CF7CFA" w:usb2="00000016" w:usb3="00000000" w:csb0="00040001" w:csb1="00000000"/>
    <w:embedRegular r:id="rId2" w:fontKey="{5B5514D3-D9A7-49D9-A490-47B8E26A0F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embedRegular r:id="rId3" w:fontKey="{7323B067-98BA-4053-BD65-3F8568566724}"/>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embedRegular r:id="rId4" w:fontKey="{5436C3D7-ECA3-4B88-83EE-458B17BAF796}"/>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embedRegular r:id="rId5" w:fontKey="{DC02FC93-BC9F-4AD2-9598-6D1D3A267CBA}"/>
  </w:font>
  <w:font w:name="仿宋_GB2312">
    <w:panose1 w:val="02010609030101010101"/>
    <w:charset w:val="86"/>
    <w:family w:val="modern"/>
    <w:pitch w:val="default"/>
    <w:sig w:usb0="00000001" w:usb1="080E0000" w:usb2="00000000" w:usb3="00000000" w:csb0="00040000" w:csb1="00000000"/>
    <w:embedRegular r:id="rId6" w:fontKey="{71DE59FD-A6BD-4C1A-B2FF-948E3400C87C}"/>
  </w:font>
  <w:font w:name="仿宋">
    <w:panose1 w:val="02010609060101010101"/>
    <w:charset w:val="86"/>
    <w:family w:val="modern"/>
    <w:pitch w:val="default"/>
    <w:sig w:usb0="800002BF" w:usb1="38CF7CFA" w:usb2="00000016" w:usb3="00000000" w:csb0="00040001" w:csb1="00000000"/>
    <w:embedRegular r:id="rId7" w:fontKey="{52C2EBD3-76A5-4C89-BBB5-15CCD2DA8EC0}"/>
  </w:font>
  <w:font w:name="新宋体">
    <w:panose1 w:val="02010609030101010101"/>
    <w:charset w:val="86"/>
    <w:family w:val="modern"/>
    <w:pitch w:val="default"/>
    <w:sig w:usb0="00000203" w:usb1="288F0000" w:usb2="00000006" w:usb3="00000000" w:csb0="00040001" w:csb1="00000000"/>
    <w:embedRegular r:id="rId8" w:fontKey="{A2AE3295-F16C-4C8E-8600-18E77B63F186}"/>
  </w:font>
  <w:font w:name="华文仿宋">
    <w:panose1 w:val="02010600040101010101"/>
    <w:charset w:val="86"/>
    <w:family w:val="auto"/>
    <w:pitch w:val="default"/>
    <w:sig w:usb0="00000287" w:usb1="080F0000" w:usb2="00000000" w:usb3="00000000" w:csb0="0004009F" w:csb1="DFD70000"/>
    <w:embedRegular r:id="rId9" w:fontKey="{0AD2BEE7-8D67-4F92-A34F-5C23958E73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EF541">
    <w:pPr>
      <w:pStyle w:val="22"/>
    </w:pPr>
    <w:r>
      <mc:AlternateContent>
        <mc:Choice Requires="wps">
          <w:drawing>
            <wp:anchor distT="0" distB="0" distL="114300" distR="114300" simplePos="0" relativeHeight="251659264" behindDoc="0" locked="0" layoutInCell="1" allowOverlap="1">
              <wp:simplePos x="0" y="0"/>
              <wp:positionH relativeFrom="margin">
                <wp:posOffset>3112770</wp:posOffset>
              </wp:positionH>
              <wp:positionV relativeFrom="paragraph">
                <wp:posOffset>-635</wp:posOffset>
              </wp:positionV>
              <wp:extent cx="2032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203200" cy="1828800"/>
                      </a:xfrm>
                      <a:prstGeom prst="rect">
                        <a:avLst/>
                      </a:prstGeom>
                      <a:noFill/>
                      <a:ln w="15875">
                        <a:noFill/>
                      </a:ln>
                    </wps:spPr>
                    <wps:txbx>
                      <w:txbxContent>
                        <w:p w14:paraId="2E75BC9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wps:txbx>
                    <wps:bodyPr wrap="square" lIns="0" tIns="0" rIns="0" bIns="0">
                      <a:spAutoFit/>
                    </wps:bodyPr>
                  </wps:wsp>
                </a:graphicData>
              </a:graphic>
            </wp:anchor>
          </w:drawing>
        </mc:Choice>
        <mc:Fallback>
          <w:pict>
            <v:shape id="文本框 7" o:spid="_x0000_s1026" o:spt="202" type="#_x0000_t202" style="position:absolute;left:0pt;margin-left:245.1pt;margin-top:-0.05pt;height:144pt;width:16pt;mso-position-horizontal-relative:margin;z-index:251659264;mso-width-relative:page;mso-height-relative:page;" filled="f" stroked="f" coordsize="21600,21600" o:gfxdata="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xu5frZAAAACQEAAA8AAAAAAAAAAQAgAAAA&#10;IgAAAGRycy9kb3ducmV2LnhtbFBLAQIUABQAAAAIAIdO4kC0Wt3w0QEAAJgDAAAOAAAAAAAAAAEA&#10;IAAAACgBAABkcnMvZTJvRG9jLnhtbFBLBQYAAAAABgAGAFkBAABrBQAAAAA=&#10;">
              <v:fill on="f" focussize="0,0"/>
              <v:stroke on="f" weight="1.25pt"/>
              <v:imagedata o:title=""/>
              <o:lock v:ext="edit" aspectratio="f"/>
              <v:textbox inset="0mm,0mm,0mm,0mm" style="mso-fit-shape-to-text:t;">
                <w:txbxContent>
                  <w:p w14:paraId="2E75BC9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3A368"/>
    <w:multiLevelType w:val="singleLevel"/>
    <w:tmpl w:val="8B73A368"/>
    <w:lvl w:ilvl="0" w:tentative="0">
      <w:start w:val="1"/>
      <w:numFmt w:val="chineseCounting"/>
      <w:pStyle w:val="2"/>
      <w:suff w:val="nothing"/>
      <w:lvlText w:val="%1、"/>
      <w:lvlJc w:val="left"/>
      <w:pPr>
        <w:ind w:left="-420" w:firstLine="420"/>
      </w:pPr>
      <w:rPr>
        <w:rFonts w:hint="eastAsia"/>
      </w:rPr>
    </w:lvl>
  </w:abstractNum>
  <w:abstractNum w:abstractNumId="1">
    <w:nsid w:val="9463CC74"/>
    <w:multiLevelType w:val="singleLevel"/>
    <w:tmpl w:val="9463CC74"/>
    <w:lvl w:ilvl="0" w:tentative="0">
      <w:start w:val="3"/>
      <w:numFmt w:val="chineseCounting"/>
      <w:suff w:val="nothing"/>
      <w:lvlText w:val="%1、"/>
      <w:lvlJc w:val="left"/>
      <w:rPr>
        <w:rFonts w:hint="eastAsia"/>
      </w:rPr>
    </w:lvl>
  </w:abstractNum>
  <w:abstractNum w:abstractNumId="2">
    <w:nsid w:val="B6095B20"/>
    <w:multiLevelType w:val="singleLevel"/>
    <w:tmpl w:val="B6095B20"/>
    <w:lvl w:ilvl="0" w:tentative="0">
      <w:start w:val="1"/>
      <w:numFmt w:val="decimal"/>
      <w:lvlText w:val="(%1)"/>
      <w:lvlJc w:val="left"/>
      <w:pPr>
        <w:ind w:left="425" w:hanging="425"/>
      </w:pPr>
      <w:rPr>
        <w:rFonts w:hint="default"/>
      </w:rPr>
    </w:lvl>
  </w:abstractNum>
  <w:abstractNum w:abstractNumId="3">
    <w:nsid w:val="BA0462C5"/>
    <w:multiLevelType w:val="singleLevel"/>
    <w:tmpl w:val="BA0462C5"/>
    <w:lvl w:ilvl="0" w:tentative="0">
      <w:start w:val="1"/>
      <w:numFmt w:val="decimal"/>
      <w:suff w:val="nothing"/>
      <w:lvlText w:val="(%1)"/>
      <w:lvlJc w:val="left"/>
      <w:pPr>
        <w:ind w:left="425" w:hanging="425"/>
      </w:pPr>
      <w:rPr>
        <w:rFonts w:hint="default"/>
      </w:rPr>
    </w:lvl>
  </w:abstractNum>
  <w:abstractNum w:abstractNumId="4">
    <w:nsid w:val="C05771B7"/>
    <w:multiLevelType w:val="singleLevel"/>
    <w:tmpl w:val="C05771B7"/>
    <w:lvl w:ilvl="0" w:tentative="0">
      <w:start w:val="1"/>
      <w:numFmt w:val="chineseCounting"/>
      <w:pStyle w:val="3"/>
      <w:suff w:val="nothing"/>
      <w:lvlText w:val="（%1）"/>
      <w:lvlJc w:val="center"/>
      <w:pPr>
        <w:tabs>
          <w:tab w:val="left" w:pos="1021"/>
        </w:tabs>
        <w:ind w:left="1021" w:firstLine="397"/>
      </w:pPr>
      <w:rPr>
        <w:rFonts w:hint="eastAsia" w:eastAsia="微软雅黑"/>
        <w:sz w:val="30"/>
      </w:rPr>
    </w:lvl>
  </w:abstractNum>
  <w:abstractNum w:abstractNumId="5">
    <w:nsid w:val="D7E96969"/>
    <w:multiLevelType w:val="singleLevel"/>
    <w:tmpl w:val="D7E96969"/>
    <w:lvl w:ilvl="0" w:tentative="0">
      <w:start w:val="1"/>
      <w:numFmt w:val="decimal"/>
      <w:suff w:val="nothing"/>
      <w:lvlText w:val="%1)"/>
      <w:lvlJc w:val="left"/>
      <w:pPr>
        <w:ind w:left="425" w:hanging="425"/>
      </w:pPr>
      <w:rPr>
        <w:rFonts w:hint="default"/>
      </w:rPr>
    </w:lvl>
  </w:abstractNum>
  <w:abstractNum w:abstractNumId="6">
    <w:nsid w:val="DE735D4F"/>
    <w:multiLevelType w:val="multilevel"/>
    <w:tmpl w:val="DE735D4F"/>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DF58DFA3"/>
    <w:multiLevelType w:val="singleLevel"/>
    <w:tmpl w:val="DF58DFA3"/>
    <w:lvl w:ilvl="0" w:tentative="0">
      <w:start w:val="1"/>
      <w:numFmt w:val="decimal"/>
      <w:suff w:val="nothing"/>
      <w:lvlText w:val="%1."/>
      <w:lvlJc w:val="left"/>
      <w:pPr>
        <w:ind w:left="0" w:firstLine="480"/>
      </w:pPr>
      <w:rPr>
        <w:rFonts w:hint="default"/>
      </w:rPr>
    </w:lvl>
  </w:abstractNum>
  <w:abstractNum w:abstractNumId="8">
    <w:nsid w:val="E64C66AA"/>
    <w:multiLevelType w:val="singleLevel"/>
    <w:tmpl w:val="E64C66AA"/>
    <w:lvl w:ilvl="0" w:tentative="0">
      <w:start w:val="1"/>
      <w:numFmt w:val="decimal"/>
      <w:suff w:val="nothing"/>
      <w:lvlText w:val="(%1)"/>
      <w:lvlJc w:val="left"/>
      <w:pPr>
        <w:ind w:left="425" w:hanging="425"/>
      </w:pPr>
      <w:rPr>
        <w:rFonts w:hint="default"/>
      </w:rPr>
    </w:lvl>
  </w:abstractNum>
  <w:abstractNum w:abstractNumId="9">
    <w:nsid w:val="F1428D16"/>
    <w:multiLevelType w:val="singleLevel"/>
    <w:tmpl w:val="F1428D16"/>
    <w:lvl w:ilvl="0" w:tentative="0">
      <w:start w:val="1"/>
      <w:numFmt w:val="decimal"/>
      <w:lvlText w:val="(%1)"/>
      <w:lvlJc w:val="left"/>
      <w:pPr>
        <w:ind w:left="425" w:hanging="425"/>
      </w:pPr>
      <w:rPr>
        <w:rFonts w:hint="default"/>
      </w:rPr>
    </w:lvl>
  </w:abstractNum>
  <w:abstractNum w:abstractNumId="10">
    <w:nsid w:val="FF0B7710"/>
    <w:multiLevelType w:val="singleLevel"/>
    <w:tmpl w:val="FF0B7710"/>
    <w:lvl w:ilvl="0" w:tentative="0">
      <w:start w:val="1"/>
      <w:numFmt w:val="decimal"/>
      <w:suff w:val="nothing"/>
      <w:lvlText w:val="%1."/>
      <w:lvlJc w:val="left"/>
      <w:pPr>
        <w:ind w:left="0" w:firstLine="480"/>
      </w:pPr>
      <w:rPr>
        <w:rFonts w:hint="default"/>
      </w:rPr>
    </w:lvl>
  </w:abstractNum>
  <w:abstractNum w:abstractNumId="11">
    <w:nsid w:val="01ED9B92"/>
    <w:multiLevelType w:val="singleLevel"/>
    <w:tmpl w:val="01ED9B92"/>
    <w:lvl w:ilvl="0" w:tentative="0">
      <w:start w:val="1"/>
      <w:numFmt w:val="decimalEnclosedCircleChinese"/>
      <w:suff w:val="nothing"/>
      <w:lvlText w:val="%1　"/>
      <w:lvlJc w:val="left"/>
      <w:pPr>
        <w:tabs>
          <w:tab w:val="left" w:pos="3402"/>
        </w:tabs>
        <w:ind w:left="3402" w:firstLine="0"/>
      </w:pPr>
      <w:rPr>
        <w:rFonts w:hint="eastAsia"/>
        <w:color w:val="auto"/>
      </w:rPr>
    </w:lvl>
  </w:abstractNum>
  <w:abstractNum w:abstractNumId="12">
    <w:nsid w:val="02A93BD6"/>
    <w:multiLevelType w:val="multilevel"/>
    <w:tmpl w:val="02A93BD6"/>
    <w:lvl w:ilvl="0" w:tentative="0">
      <w:start w:val="1"/>
      <w:numFmt w:val="chineseCountingThousand"/>
      <w:lvlText w:val="第%1部分."/>
      <w:lvlJc w:val="center"/>
      <w:pPr>
        <w:tabs>
          <w:tab w:val="left" w:pos="1386"/>
        </w:tabs>
        <w:ind w:left="810" w:hanging="144"/>
      </w:pPr>
      <w:rPr>
        <w:rFonts w:hint="eastAsia"/>
      </w:rPr>
    </w:lvl>
    <w:lvl w:ilvl="1" w:tentative="0">
      <w:start w:val="1"/>
      <w:numFmt w:val="decimal"/>
      <w:lvlText w:val="%2."/>
      <w:lvlJc w:val="left"/>
      <w:pPr>
        <w:tabs>
          <w:tab w:val="left" w:pos="355"/>
        </w:tabs>
        <w:ind w:left="355" w:hanging="397"/>
      </w:pPr>
      <w:rPr>
        <w:rFonts w:hint="eastAsia"/>
      </w:rPr>
    </w:lvl>
    <w:lvl w:ilvl="2" w:tentative="0">
      <w:start w:val="1"/>
      <w:numFmt w:val="decimal"/>
      <w:lvlText w:val="%2.%3."/>
      <w:lvlJc w:val="left"/>
      <w:pPr>
        <w:tabs>
          <w:tab w:val="left" w:pos="638"/>
        </w:tabs>
        <w:ind w:left="638" w:hanging="453"/>
      </w:pPr>
      <w:rPr>
        <w:rFonts w:hint="eastAsia"/>
      </w:rPr>
    </w:lvl>
    <w:lvl w:ilvl="3" w:tentative="0">
      <w:start w:val="1"/>
      <w:numFmt w:val="decimal"/>
      <w:lvlText w:val="%2.%3.%4"/>
      <w:lvlJc w:val="left"/>
      <w:pPr>
        <w:tabs>
          <w:tab w:val="left" w:pos="1075"/>
        </w:tabs>
        <w:ind w:left="525" w:hanging="170"/>
      </w:pPr>
      <w:rPr>
        <w:rFonts w:hint="default"/>
      </w:rPr>
    </w:lvl>
    <w:lvl w:ilvl="4" w:tentative="0">
      <w:start w:val="1"/>
      <w:numFmt w:val="decimal"/>
      <w:lvlText w:val="%2.%3.%4.%5"/>
      <w:lvlJc w:val="left"/>
      <w:pPr>
        <w:tabs>
          <w:tab w:val="left" w:pos="1605"/>
        </w:tabs>
        <w:ind w:left="752" w:hanging="227"/>
      </w:pPr>
      <w:rPr>
        <w:rFonts w:hint="eastAsia"/>
      </w:rPr>
    </w:lvl>
    <w:lvl w:ilvl="5" w:tentative="0">
      <w:start w:val="1"/>
      <w:numFmt w:val="decimal"/>
      <w:lvlText w:val="%2.%3.%4.%5.%6"/>
      <w:lvlJc w:val="left"/>
      <w:pPr>
        <w:tabs>
          <w:tab w:val="left" w:pos="1530"/>
        </w:tabs>
        <w:ind w:left="1530" w:hanging="1152"/>
      </w:pPr>
      <w:rPr>
        <w:rFonts w:hint="eastAsia"/>
      </w:rPr>
    </w:lvl>
    <w:lvl w:ilvl="6" w:tentative="0">
      <w:start w:val="1"/>
      <w:numFmt w:val="decimal"/>
      <w:lvlText w:val="%7)"/>
      <w:lvlJc w:val="left"/>
      <w:pPr>
        <w:tabs>
          <w:tab w:val="left" w:pos="1674"/>
        </w:tabs>
        <w:ind w:left="1674" w:hanging="1296"/>
      </w:pPr>
      <w:rPr>
        <w:rFonts w:hint="eastAsia"/>
      </w:rPr>
    </w:lvl>
    <w:lvl w:ilvl="7" w:tentative="0">
      <w:start w:val="1"/>
      <w:numFmt w:val="chineseCountingThousand"/>
      <w:lvlRestart w:val="0"/>
      <w:pStyle w:val="9"/>
      <w:lvlText w:val="第%8章."/>
      <w:lvlJc w:val="left"/>
      <w:pPr>
        <w:tabs>
          <w:tab w:val="left" w:pos="8528"/>
        </w:tabs>
        <w:ind w:left="8528" w:hanging="1440"/>
      </w:pPr>
      <w:rPr>
        <w:rFonts w:hint="eastAsia"/>
      </w:rPr>
    </w:lvl>
    <w:lvl w:ilvl="8" w:tentative="0">
      <w:start w:val="1"/>
      <w:numFmt w:val="decimal"/>
      <w:lvlText w:val="第%9条."/>
      <w:lvlJc w:val="left"/>
      <w:pPr>
        <w:tabs>
          <w:tab w:val="left" w:pos="1962"/>
        </w:tabs>
        <w:ind w:left="1962" w:hanging="1584"/>
      </w:pPr>
      <w:rPr>
        <w:rFonts w:hint="eastAsia"/>
      </w:rPr>
    </w:lvl>
  </w:abstractNum>
  <w:abstractNum w:abstractNumId="13">
    <w:nsid w:val="1BFD6DA4"/>
    <w:multiLevelType w:val="multilevel"/>
    <w:tmpl w:val="1BFD6DA4"/>
    <w:lvl w:ilvl="0" w:tentative="0">
      <w:start w:val="1"/>
      <w:numFmt w:val="bullet"/>
      <w:pStyle w:val="301"/>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8253CA9"/>
    <w:multiLevelType w:val="multilevel"/>
    <w:tmpl w:val="28253CA9"/>
    <w:lvl w:ilvl="0" w:tentative="0">
      <w:start w:val="1"/>
      <w:numFmt w:val="decimal"/>
      <w:pStyle w:val="305"/>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02DB581"/>
    <w:multiLevelType w:val="singleLevel"/>
    <w:tmpl w:val="302DB581"/>
    <w:lvl w:ilvl="0" w:tentative="0">
      <w:start w:val="1"/>
      <w:numFmt w:val="chineseCounting"/>
      <w:suff w:val="nothing"/>
      <w:lvlText w:val="（%1）"/>
      <w:lvlJc w:val="left"/>
      <w:pPr>
        <w:ind w:left="0" w:firstLine="420"/>
      </w:pPr>
      <w:rPr>
        <w:rFonts w:hint="eastAsia"/>
      </w:rPr>
    </w:lvl>
  </w:abstractNum>
  <w:abstractNum w:abstractNumId="17">
    <w:nsid w:val="41DC48F5"/>
    <w:multiLevelType w:val="multilevel"/>
    <w:tmpl w:val="41DC48F5"/>
    <w:lvl w:ilvl="0" w:tentative="0">
      <w:start w:val="1"/>
      <w:numFmt w:val="decimal"/>
      <w:lvlText w:val="%1．"/>
      <w:lvlJc w:val="left"/>
      <w:pPr>
        <w:tabs>
          <w:tab w:val="left" w:pos="898"/>
        </w:tabs>
        <w:ind w:left="898" w:hanging="720"/>
      </w:pPr>
      <w:rPr>
        <w:rFonts w:hint="eastAsia"/>
      </w:rPr>
    </w:lvl>
    <w:lvl w:ilvl="1" w:tentative="0">
      <w:start w:val="3"/>
      <w:numFmt w:val="decimal"/>
      <w:lvlText w:val="%2."/>
      <w:lvlJc w:val="left"/>
      <w:pPr>
        <w:tabs>
          <w:tab w:val="left" w:pos="958"/>
        </w:tabs>
        <w:ind w:left="958" w:hanging="360"/>
      </w:pPr>
      <w:rPr>
        <w:rFonts w:hint="default"/>
      </w:rPr>
    </w:lvl>
    <w:lvl w:ilvl="2" w:tentative="0">
      <w:start w:val="1"/>
      <w:numFmt w:val="decimalEnclosedCircle"/>
      <w:lvlText w:val="%3"/>
      <w:lvlJc w:val="left"/>
      <w:pPr>
        <w:tabs>
          <w:tab w:val="left" w:pos="1378"/>
        </w:tabs>
        <w:ind w:left="1378" w:hanging="360"/>
      </w:pPr>
      <w:rPr>
        <w:rFonts w:hint="default"/>
        <w:color w:val="auto"/>
      </w:rPr>
    </w:lvl>
    <w:lvl w:ilvl="3" w:tentative="0">
      <w:start w:val="1"/>
      <w:numFmt w:val="decimal"/>
      <w:lvlText w:val="%4."/>
      <w:lvlJc w:val="left"/>
      <w:pPr>
        <w:tabs>
          <w:tab w:val="left" w:pos="1858"/>
        </w:tabs>
        <w:ind w:left="1858" w:hanging="420"/>
      </w:pPr>
    </w:lvl>
    <w:lvl w:ilvl="4" w:tentative="0">
      <w:start w:val="1"/>
      <w:numFmt w:val="lowerLetter"/>
      <w:lvlText w:val="%5)"/>
      <w:lvlJc w:val="left"/>
      <w:pPr>
        <w:tabs>
          <w:tab w:val="left" w:pos="2278"/>
        </w:tabs>
        <w:ind w:left="2278" w:hanging="420"/>
      </w:pPr>
    </w:lvl>
    <w:lvl w:ilvl="5" w:tentative="0">
      <w:start w:val="1"/>
      <w:numFmt w:val="lowerRoman"/>
      <w:lvlText w:val="%6."/>
      <w:lvlJc w:val="right"/>
      <w:pPr>
        <w:tabs>
          <w:tab w:val="left" w:pos="2698"/>
        </w:tabs>
        <w:ind w:left="2698" w:hanging="420"/>
      </w:pPr>
    </w:lvl>
    <w:lvl w:ilvl="6" w:tentative="0">
      <w:start w:val="1"/>
      <w:numFmt w:val="decimal"/>
      <w:lvlText w:val="%7."/>
      <w:lvlJc w:val="left"/>
      <w:pPr>
        <w:tabs>
          <w:tab w:val="left" w:pos="3118"/>
        </w:tabs>
        <w:ind w:left="3118" w:hanging="420"/>
      </w:pPr>
    </w:lvl>
    <w:lvl w:ilvl="7" w:tentative="0">
      <w:start w:val="1"/>
      <w:numFmt w:val="lowerLetter"/>
      <w:lvlText w:val="%8)"/>
      <w:lvlJc w:val="left"/>
      <w:pPr>
        <w:tabs>
          <w:tab w:val="left" w:pos="3538"/>
        </w:tabs>
        <w:ind w:left="3538" w:hanging="420"/>
      </w:pPr>
    </w:lvl>
    <w:lvl w:ilvl="8" w:tentative="0">
      <w:start w:val="1"/>
      <w:numFmt w:val="lowerRoman"/>
      <w:lvlText w:val="%9."/>
      <w:lvlJc w:val="right"/>
      <w:pPr>
        <w:tabs>
          <w:tab w:val="left" w:pos="3958"/>
        </w:tabs>
        <w:ind w:left="3958" w:hanging="420"/>
      </w:pPr>
    </w:lvl>
  </w:abstractNum>
  <w:abstractNum w:abstractNumId="18">
    <w:nsid w:val="49083DDC"/>
    <w:multiLevelType w:val="singleLevel"/>
    <w:tmpl w:val="49083DDC"/>
    <w:lvl w:ilvl="0" w:tentative="0">
      <w:start w:val="1"/>
      <w:numFmt w:val="chineseCounting"/>
      <w:suff w:val="nothing"/>
      <w:lvlText w:val="（%1）"/>
      <w:lvlJc w:val="left"/>
      <w:pPr>
        <w:ind w:left="0" w:firstLine="420"/>
      </w:pPr>
      <w:rPr>
        <w:rFonts w:hint="eastAsia"/>
      </w:rPr>
    </w:lvl>
  </w:abstractNum>
  <w:abstractNum w:abstractNumId="19">
    <w:nsid w:val="4A8710E4"/>
    <w:multiLevelType w:val="singleLevel"/>
    <w:tmpl w:val="4A8710E4"/>
    <w:lvl w:ilvl="0" w:tentative="0">
      <w:start w:val="1"/>
      <w:numFmt w:val="decimal"/>
      <w:suff w:val="nothing"/>
      <w:lvlText w:val="%1)"/>
      <w:lvlJc w:val="left"/>
      <w:pPr>
        <w:ind w:left="425" w:hanging="425"/>
      </w:pPr>
      <w:rPr>
        <w:rFonts w:hint="default"/>
      </w:rPr>
    </w:lvl>
  </w:abstractNum>
  <w:abstractNum w:abstractNumId="20">
    <w:nsid w:val="4B9D13A2"/>
    <w:multiLevelType w:val="multilevel"/>
    <w:tmpl w:val="4B9D13A2"/>
    <w:lvl w:ilvl="0" w:tentative="0">
      <w:start w:val="1"/>
      <w:numFmt w:val="bullet"/>
      <w:pStyle w:val="19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510B6456"/>
    <w:multiLevelType w:val="singleLevel"/>
    <w:tmpl w:val="510B6456"/>
    <w:lvl w:ilvl="0" w:tentative="0">
      <w:start w:val="1"/>
      <w:numFmt w:val="decimal"/>
      <w:lvlText w:val="%1．"/>
      <w:lvlJc w:val="left"/>
      <w:pPr>
        <w:tabs>
          <w:tab w:val="left" w:pos="552"/>
        </w:tabs>
        <w:ind w:left="552" w:hanging="420"/>
      </w:pPr>
      <w:rPr>
        <w:rFonts w:hint="eastAsia"/>
      </w:rPr>
    </w:lvl>
  </w:abstractNum>
  <w:abstractNum w:abstractNumId="22">
    <w:nsid w:val="56BB5A5B"/>
    <w:multiLevelType w:val="singleLevel"/>
    <w:tmpl w:val="56BB5A5B"/>
    <w:lvl w:ilvl="0" w:tentative="0">
      <w:start w:val="1"/>
      <w:numFmt w:val="decimal"/>
      <w:suff w:val="nothing"/>
      <w:lvlText w:val="%1)"/>
      <w:lvlJc w:val="left"/>
      <w:pPr>
        <w:ind w:left="425" w:hanging="425"/>
      </w:pPr>
      <w:rPr>
        <w:rFonts w:hint="default"/>
      </w:rPr>
    </w:lvl>
  </w:abstractNum>
  <w:abstractNum w:abstractNumId="23">
    <w:nsid w:val="6898A575"/>
    <w:multiLevelType w:val="singleLevel"/>
    <w:tmpl w:val="6898A575"/>
    <w:lvl w:ilvl="0" w:tentative="0">
      <w:start w:val="1"/>
      <w:numFmt w:val="decimal"/>
      <w:suff w:val="nothing"/>
      <w:lvlText w:val="%1."/>
      <w:lvlJc w:val="left"/>
      <w:pPr>
        <w:ind w:left="0" w:firstLine="480"/>
      </w:pPr>
      <w:rPr>
        <w:rFonts w:hint="default"/>
      </w:rPr>
    </w:lvl>
  </w:abstractNum>
  <w:abstractNum w:abstractNumId="24">
    <w:nsid w:val="691E62C6"/>
    <w:multiLevelType w:val="multilevel"/>
    <w:tmpl w:val="691E62C6"/>
    <w:lvl w:ilvl="0" w:tentative="0">
      <w:start w:val="2"/>
      <w:numFmt w:val="japaneseCounting"/>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5">
    <w:nsid w:val="70FE46F0"/>
    <w:multiLevelType w:val="singleLevel"/>
    <w:tmpl w:val="70FE46F0"/>
    <w:lvl w:ilvl="0" w:tentative="0">
      <w:start w:val="1"/>
      <w:numFmt w:val="chineseCounting"/>
      <w:suff w:val="nothing"/>
      <w:lvlText w:val="%1、"/>
      <w:lvlJc w:val="left"/>
      <w:pPr>
        <w:ind w:left="0" w:firstLine="0"/>
      </w:pPr>
      <w:rPr>
        <w:rFonts w:hint="eastAsia"/>
      </w:rPr>
    </w:lvl>
  </w:abstractNum>
  <w:abstractNum w:abstractNumId="26">
    <w:nsid w:val="7184A506"/>
    <w:multiLevelType w:val="singleLevel"/>
    <w:tmpl w:val="7184A506"/>
    <w:lvl w:ilvl="0" w:tentative="0">
      <w:start w:val="1"/>
      <w:numFmt w:val="decimal"/>
      <w:suff w:val="nothing"/>
      <w:lvlText w:val="%1)"/>
      <w:lvlJc w:val="left"/>
      <w:pPr>
        <w:ind w:left="425" w:hanging="425"/>
      </w:pPr>
      <w:rPr>
        <w:rFonts w:hint="default"/>
      </w:rPr>
    </w:lvl>
  </w:abstractNum>
  <w:abstractNum w:abstractNumId="27">
    <w:nsid w:val="71D54D18"/>
    <w:multiLevelType w:val="multilevel"/>
    <w:tmpl w:val="71D54D18"/>
    <w:lvl w:ilvl="0" w:tentative="0">
      <w:start w:val="1"/>
      <w:numFmt w:val="upperLetter"/>
      <w:pStyle w:val="7"/>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32E5890"/>
    <w:multiLevelType w:val="singleLevel"/>
    <w:tmpl w:val="732E5890"/>
    <w:lvl w:ilvl="0" w:tentative="0">
      <w:start w:val="1"/>
      <w:numFmt w:val="decimal"/>
      <w:lvlText w:val="(%1)"/>
      <w:lvlJc w:val="left"/>
      <w:pPr>
        <w:ind w:left="425" w:hanging="425"/>
      </w:pPr>
      <w:rPr>
        <w:rFonts w:hint="default"/>
      </w:rPr>
    </w:lvl>
  </w:abstractNum>
  <w:abstractNum w:abstractNumId="29">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0"/>
  </w:num>
  <w:num w:numId="2">
    <w:abstractNumId w:val="4"/>
  </w:num>
  <w:num w:numId="3">
    <w:abstractNumId w:val="27"/>
  </w:num>
  <w:num w:numId="4">
    <w:abstractNumId w:val="12"/>
  </w:num>
  <w:num w:numId="5">
    <w:abstractNumId w:val="20"/>
  </w:num>
  <w:num w:numId="6">
    <w:abstractNumId w:val="13"/>
  </w:num>
  <w:num w:numId="7">
    <w:abstractNumId w:val="15"/>
  </w:num>
  <w:num w:numId="8">
    <w:abstractNumId w:val="1"/>
  </w:num>
  <w:num w:numId="9">
    <w:abstractNumId w:val="24"/>
  </w:num>
  <w:num w:numId="10">
    <w:abstractNumId w:val="21"/>
  </w:num>
  <w:num w:numId="11">
    <w:abstractNumId w:val="17"/>
  </w:num>
  <w:num w:numId="12">
    <w:abstractNumId w:val="11"/>
  </w:num>
  <w:num w:numId="13">
    <w:abstractNumId w:val="14"/>
  </w:num>
  <w:num w:numId="14">
    <w:abstractNumId w:val="29"/>
  </w:num>
  <w:num w:numId="15">
    <w:abstractNumId w:val="25"/>
  </w:num>
  <w:num w:numId="16">
    <w:abstractNumId w:val="18"/>
  </w:num>
  <w:num w:numId="17">
    <w:abstractNumId w:val="23"/>
  </w:num>
  <w:num w:numId="18">
    <w:abstractNumId w:val="9"/>
  </w:num>
  <w:num w:numId="19">
    <w:abstractNumId w:val="28"/>
  </w:num>
  <w:num w:numId="20">
    <w:abstractNumId w:val="10"/>
  </w:num>
  <w:num w:numId="21">
    <w:abstractNumId w:val="2"/>
  </w:num>
  <w:num w:numId="22">
    <w:abstractNumId w:val="16"/>
  </w:num>
  <w:num w:numId="23">
    <w:abstractNumId w:val="7"/>
  </w:num>
  <w:num w:numId="24">
    <w:abstractNumId w:val="26"/>
  </w:num>
  <w:num w:numId="25">
    <w:abstractNumId w:val="8"/>
  </w:num>
  <w:num w:numId="26">
    <w:abstractNumId w:val="3"/>
  </w:num>
  <w:num w:numId="27">
    <w:abstractNumId w:val="22"/>
  </w:num>
  <w:num w:numId="28">
    <w:abstractNumId w:val="19"/>
  </w:num>
  <w:num w:numId="29">
    <w:abstractNumId w:val="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iOWQxOWQ5ZDE5Njg0MjA5NjdmNTY5ZGFiMTU5NzYifQ=="/>
  </w:docVars>
  <w:rsids>
    <w:rsidRoot w:val="6E8E2D33"/>
    <w:rsid w:val="00006B63"/>
    <w:rsid w:val="00011C5C"/>
    <w:rsid w:val="00026B13"/>
    <w:rsid w:val="00037BB8"/>
    <w:rsid w:val="00064AEC"/>
    <w:rsid w:val="00083CAD"/>
    <w:rsid w:val="0009196F"/>
    <w:rsid w:val="000B7863"/>
    <w:rsid w:val="000D5744"/>
    <w:rsid w:val="000F445A"/>
    <w:rsid w:val="00186406"/>
    <w:rsid w:val="001B57D7"/>
    <w:rsid w:val="0021589C"/>
    <w:rsid w:val="002336E8"/>
    <w:rsid w:val="002361F1"/>
    <w:rsid w:val="0029503A"/>
    <w:rsid w:val="002D7B88"/>
    <w:rsid w:val="00304AB7"/>
    <w:rsid w:val="00315EAD"/>
    <w:rsid w:val="00322E9B"/>
    <w:rsid w:val="003B1C83"/>
    <w:rsid w:val="003C4EEC"/>
    <w:rsid w:val="003D34E4"/>
    <w:rsid w:val="00462FB5"/>
    <w:rsid w:val="00466BEA"/>
    <w:rsid w:val="0048281B"/>
    <w:rsid w:val="004B584F"/>
    <w:rsid w:val="004C2B3C"/>
    <w:rsid w:val="004C59EC"/>
    <w:rsid w:val="004D0E79"/>
    <w:rsid w:val="00501D4E"/>
    <w:rsid w:val="0051579E"/>
    <w:rsid w:val="00524FA5"/>
    <w:rsid w:val="005746EC"/>
    <w:rsid w:val="005A6CBA"/>
    <w:rsid w:val="005B5DDF"/>
    <w:rsid w:val="005C4A08"/>
    <w:rsid w:val="006123E8"/>
    <w:rsid w:val="00694455"/>
    <w:rsid w:val="006B2C41"/>
    <w:rsid w:val="006C0C64"/>
    <w:rsid w:val="006D4D06"/>
    <w:rsid w:val="006D56F8"/>
    <w:rsid w:val="006E5ABB"/>
    <w:rsid w:val="00706CAC"/>
    <w:rsid w:val="00737854"/>
    <w:rsid w:val="00750C05"/>
    <w:rsid w:val="007717C6"/>
    <w:rsid w:val="00790967"/>
    <w:rsid w:val="007E2942"/>
    <w:rsid w:val="00806A05"/>
    <w:rsid w:val="008101DF"/>
    <w:rsid w:val="0086209F"/>
    <w:rsid w:val="008E6906"/>
    <w:rsid w:val="009232C7"/>
    <w:rsid w:val="00975F86"/>
    <w:rsid w:val="009D639D"/>
    <w:rsid w:val="009F4516"/>
    <w:rsid w:val="00A35E72"/>
    <w:rsid w:val="00A63AD2"/>
    <w:rsid w:val="00AC43B3"/>
    <w:rsid w:val="00B43796"/>
    <w:rsid w:val="00B524FD"/>
    <w:rsid w:val="00B87643"/>
    <w:rsid w:val="00BD40E2"/>
    <w:rsid w:val="00C539BA"/>
    <w:rsid w:val="00C91C98"/>
    <w:rsid w:val="00C91F79"/>
    <w:rsid w:val="00CA1230"/>
    <w:rsid w:val="00CF6FD9"/>
    <w:rsid w:val="00D05E28"/>
    <w:rsid w:val="00D436FA"/>
    <w:rsid w:val="00D66FF2"/>
    <w:rsid w:val="00D75581"/>
    <w:rsid w:val="00D861E4"/>
    <w:rsid w:val="00DA6CA2"/>
    <w:rsid w:val="00DC3040"/>
    <w:rsid w:val="00DE2D77"/>
    <w:rsid w:val="00DF3712"/>
    <w:rsid w:val="00DF5B29"/>
    <w:rsid w:val="00DF781F"/>
    <w:rsid w:val="00E02832"/>
    <w:rsid w:val="00E03277"/>
    <w:rsid w:val="00E07927"/>
    <w:rsid w:val="00E37CC5"/>
    <w:rsid w:val="00E37F48"/>
    <w:rsid w:val="00E53C48"/>
    <w:rsid w:val="00EE4FF8"/>
    <w:rsid w:val="00F13172"/>
    <w:rsid w:val="00F17488"/>
    <w:rsid w:val="00F371EF"/>
    <w:rsid w:val="00F74455"/>
    <w:rsid w:val="00F952D5"/>
    <w:rsid w:val="00FE3E68"/>
    <w:rsid w:val="00FF52E9"/>
    <w:rsid w:val="01056D9D"/>
    <w:rsid w:val="011A16D7"/>
    <w:rsid w:val="01282E62"/>
    <w:rsid w:val="01333A53"/>
    <w:rsid w:val="015A157B"/>
    <w:rsid w:val="01724418"/>
    <w:rsid w:val="01A826CA"/>
    <w:rsid w:val="01E07299"/>
    <w:rsid w:val="01FA722A"/>
    <w:rsid w:val="02047B51"/>
    <w:rsid w:val="024A1A25"/>
    <w:rsid w:val="02692785"/>
    <w:rsid w:val="027E086D"/>
    <w:rsid w:val="02A82AFE"/>
    <w:rsid w:val="02CA4B0C"/>
    <w:rsid w:val="039B2506"/>
    <w:rsid w:val="03B87A91"/>
    <w:rsid w:val="03D1678D"/>
    <w:rsid w:val="03ED08B9"/>
    <w:rsid w:val="03F73E18"/>
    <w:rsid w:val="046B47E1"/>
    <w:rsid w:val="046D1445"/>
    <w:rsid w:val="047B5F1E"/>
    <w:rsid w:val="04881DE7"/>
    <w:rsid w:val="049820AD"/>
    <w:rsid w:val="04C3537C"/>
    <w:rsid w:val="04FB1018"/>
    <w:rsid w:val="05387E0D"/>
    <w:rsid w:val="054022C8"/>
    <w:rsid w:val="056536A1"/>
    <w:rsid w:val="056F581B"/>
    <w:rsid w:val="05B54FD0"/>
    <w:rsid w:val="05BB69DC"/>
    <w:rsid w:val="060A1938"/>
    <w:rsid w:val="06143BE5"/>
    <w:rsid w:val="06304BE1"/>
    <w:rsid w:val="06325D35"/>
    <w:rsid w:val="063A5CBA"/>
    <w:rsid w:val="06417EE2"/>
    <w:rsid w:val="06893176"/>
    <w:rsid w:val="06936173"/>
    <w:rsid w:val="06A74829"/>
    <w:rsid w:val="06C839F1"/>
    <w:rsid w:val="06DA69AD"/>
    <w:rsid w:val="07560217"/>
    <w:rsid w:val="07BE7A65"/>
    <w:rsid w:val="07C553A6"/>
    <w:rsid w:val="07D53C48"/>
    <w:rsid w:val="07FC00BD"/>
    <w:rsid w:val="082F235E"/>
    <w:rsid w:val="08417730"/>
    <w:rsid w:val="084453B7"/>
    <w:rsid w:val="08471E20"/>
    <w:rsid w:val="086439CD"/>
    <w:rsid w:val="08B703C0"/>
    <w:rsid w:val="08D33C93"/>
    <w:rsid w:val="08ED4934"/>
    <w:rsid w:val="08F32AAB"/>
    <w:rsid w:val="097961C8"/>
    <w:rsid w:val="097F649F"/>
    <w:rsid w:val="09BB6517"/>
    <w:rsid w:val="0A055C09"/>
    <w:rsid w:val="0A28757C"/>
    <w:rsid w:val="0A5A7F85"/>
    <w:rsid w:val="0A6439FD"/>
    <w:rsid w:val="0A8E6255"/>
    <w:rsid w:val="0AA539B2"/>
    <w:rsid w:val="0AD01510"/>
    <w:rsid w:val="0B0E180D"/>
    <w:rsid w:val="0B394C5F"/>
    <w:rsid w:val="0B521208"/>
    <w:rsid w:val="0B577EA9"/>
    <w:rsid w:val="0B8C3402"/>
    <w:rsid w:val="0BB6230B"/>
    <w:rsid w:val="0BDC54D1"/>
    <w:rsid w:val="0C130F17"/>
    <w:rsid w:val="0C4843B9"/>
    <w:rsid w:val="0C9908FB"/>
    <w:rsid w:val="0CA948EE"/>
    <w:rsid w:val="0D515EFF"/>
    <w:rsid w:val="0D5B4B6E"/>
    <w:rsid w:val="0D7C0C3D"/>
    <w:rsid w:val="0D861861"/>
    <w:rsid w:val="0D955CC8"/>
    <w:rsid w:val="0DA93C3F"/>
    <w:rsid w:val="0DC80047"/>
    <w:rsid w:val="0DEB2B5E"/>
    <w:rsid w:val="0E176F31"/>
    <w:rsid w:val="0E366DDA"/>
    <w:rsid w:val="0E3F471E"/>
    <w:rsid w:val="0E5B42DA"/>
    <w:rsid w:val="0E6F0323"/>
    <w:rsid w:val="0E8A48C8"/>
    <w:rsid w:val="0E8C7263"/>
    <w:rsid w:val="0EA91166"/>
    <w:rsid w:val="0EAA4827"/>
    <w:rsid w:val="0ECD6942"/>
    <w:rsid w:val="0ED3504B"/>
    <w:rsid w:val="0ED6783F"/>
    <w:rsid w:val="0EDC264A"/>
    <w:rsid w:val="0EFB2B53"/>
    <w:rsid w:val="0F087E2F"/>
    <w:rsid w:val="0F680932"/>
    <w:rsid w:val="0F844305"/>
    <w:rsid w:val="0F9E265F"/>
    <w:rsid w:val="0FB10087"/>
    <w:rsid w:val="0FE827AF"/>
    <w:rsid w:val="1003647D"/>
    <w:rsid w:val="10044A9B"/>
    <w:rsid w:val="100D2E35"/>
    <w:rsid w:val="10377BFA"/>
    <w:rsid w:val="10390BE8"/>
    <w:rsid w:val="10AB7932"/>
    <w:rsid w:val="10D52C3D"/>
    <w:rsid w:val="11046489"/>
    <w:rsid w:val="11615BD9"/>
    <w:rsid w:val="11D7639B"/>
    <w:rsid w:val="120B0DA6"/>
    <w:rsid w:val="12204EFF"/>
    <w:rsid w:val="122E0959"/>
    <w:rsid w:val="123205C3"/>
    <w:rsid w:val="126B3028"/>
    <w:rsid w:val="127E4955"/>
    <w:rsid w:val="12882902"/>
    <w:rsid w:val="129178C7"/>
    <w:rsid w:val="12B0753E"/>
    <w:rsid w:val="12D40754"/>
    <w:rsid w:val="12E15AFC"/>
    <w:rsid w:val="12F65690"/>
    <w:rsid w:val="130631B1"/>
    <w:rsid w:val="134B5D1C"/>
    <w:rsid w:val="135158E8"/>
    <w:rsid w:val="13597AE3"/>
    <w:rsid w:val="13883666"/>
    <w:rsid w:val="138A52B7"/>
    <w:rsid w:val="13A51BF5"/>
    <w:rsid w:val="13B35ADE"/>
    <w:rsid w:val="13DF5603"/>
    <w:rsid w:val="13E62DF8"/>
    <w:rsid w:val="13F5065E"/>
    <w:rsid w:val="13F76DF0"/>
    <w:rsid w:val="14541518"/>
    <w:rsid w:val="146230AA"/>
    <w:rsid w:val="14774DA1"/>
    <w:rsid w:val="14BD6DE9"/>
    <w:rsid w:val="14D0535C"/>
    <w:rsid w:val="15023C9F"/>
    <w:rsid w:val="153E45AB"/>
    <w:rsid w:val="1542631F"/>
    <w:rsid w:val="156A53A0"/>
    <w:rsid w:val="1587652C"/>
    <w:rsid w:val="159F2F35"/>
    <w:rsid w:val="162D02B3"/>
    <w:rsid w:val="163065E9"/>
    <w:rsid w:val="16583988"/>
    <w:rsid w:val="16A843D2"/>
    <w:rsid w:val="16C42F79"/>
    <w:rsid w:val="1710337B"/>
    <w:rsid w:val="175B5620"/>
    <w:rsid w:val="1771338A"/>
    <w:rsid w:val="179B08C6"/>
    <w:rsid w:val="17CE3436"/>
    <w:rsid w:val="181D1D5D"/>
    <w:rsid w:val="181E3FB5"/>
    <w:rsid w:val="18295325"/>
    <w:rsid w:val="1833416F"/>
    <w:rsid w:val="18664544"/>
    <w:rsid w:val="18701D8B"/>
    <w:rsid w:val="18B51028"/>
    <w:rsid w:val="18CF7159"/>
    <w:rsid w:val="18D52A4E"/>
    <w:rsid w:val="18D7040F"/>
    <w:rsid w:val="18F67162"/>
    <w:rsid w:val="19155CFB"/>
    <w:rsid w:val="19490E18"/>
    <w:rsid w:val="195425EF"/>
    <w:rsid w:val="19761BB3"/>
    <w:rsid w:val="197C67E5"/>
    <w:rsid w:val="19AA5490"/>
    <w:rsid w:val="19B24CFC"/>
    <w:rsid w:val="19B507E9"/>
    <w:rsid w:val="19E90682"/>
    <w:rsid w:val="19F81FEC"/>
    <w:rsid w:val="1A147FD0"/>
    <w:rsid w:val="1A29463F"/>
    <w:rsid w:val="1A3D20BB"/>
    <w:rsid w:val="1A83020D"/>
    <w:rsid w:val="1A9D6217"/>
    <w:rsid w:val="1A9E5E11"/>
    <w:rsid w:val="1ABA41A1"/>
    <w:rsid w:val="1AC64F3B"/>
    <w:rsid w:val="1AE81FFF"/>
    <w:rsid w:val="1B374D51"/>
    <w:rsid w:val="1B634D6B"/>
    <w:rsid w:val="1B734D8F"/>
    <w:rsid w:val="1BA47E99"/>
    <w:rsid w:val="1BF80FDA"/>
    <w:rsid w:val="1C17006D"/>
    <w:rsid w:val="1C346708"/>
    <w:rsid w:val="1C421AB3"/>
    <w:rsid w:val="1C4F52EF"/>
    <w:rsid w:val="1C6C001B"/>
    <w:rsid w:val="1CA13874"/>
    <w:rsid w:val="1CC551EF"/>
    <w:rsid w:val="1CCC7E76"/>
    <w:rsid w:val="1CD960B9"/>
    <w:rsid w:val="1CE1577F"/>
    <w:rsid w:val="1CE678FC"/>
    <w:rsid w:val="1CE808CD"/>
    <w:rsid w:val="1D0B7468"/>
    <w:rsid w:val="1D2F50C3"/>
    <w:rsid w:val="1D303373"/>
    <w:rsid w:val="1D4D5B4B"/>
    <w:rsid w:val="1D6014D5"/>
    <w:rsid w:val="1D8C19BA"/>
    <w:rsid w:val="1D991199"/>
    <w:rsid w:val="1D9F2BEF"/>
    <w:rsid w:val="1DB2013D"/>
    <w:rsid w:val="1DEB7AD9"/>
    <w:rsid w:val="1E004AF3"/>
    <w:rsid w:val="1E234C86"/>
    <w:rsid w:val="1E5E54C3"/>
    <w:rsid w:val="1E815A06"/>
    <w:rsid w:val="1E99448D"/>
    <w:rsid w:val="1EAC1948"/>
    <w:rsid w:val="1EB458DE"/>
    <w:rsid w:val="1F176598"/>
    <w:rsid w:val="1F1B17BE"/>
    <w:rsid w:val="1F380F42"/>
    <w:rsid w:val="1F4E3523"/>
    <w:rsid w:val="1F601F82"/>
    <w:rsid w:val="1F740899"/>
    <w:rsid w:val="1F8630F0"/>
    <w:rsid w:val="1F9279CD"/>
    <w:rsid w:val="20150EBA"/>
    <w:rsid w:val="20467A79"/>
    <w:rsid w:val="207A1F1D"/>
    <w:rsid w:val="207E6ED2"/>
    <w:rsid w:val="208118A1"/>
    <w:rsid w:val="21747CD2"/>
    <w:rsid w:val="21791EC4"/>
    <w:rsid w:val="21886BFB"/>
    <w:rsid w:val="21A64442"/>
    <w:rsid w:val="21A939C9"/>
    <w:rsid w:val="21AA1A13"/>
    <w:rsid w:val="21C906A0"/>
    <w:rsid w:val="21EE642C"/>
    <w:rsid w:val="22031430"/>
    <w:rsid w:val="22176A62"/>
    <w:rsid w:val="225E5E0A"/>
    <w:rsid w:val="22795849"/>
    <w:rsid w:val="22934B5A"/>
    <w:rsid w:val="22A71800"/>
    <w:rsid w:val="22C43770"/>
    <w:rsid w:val="22D83E7F"/>
    <w:rsid w:val="230948EA"/>
    <w:rsid w:val="231E7362"/>
    <w:rsid w:val="232253E7"/>
    <w:rsid w:val="23353491"/>
    <w:rsid w:val="234C3A72"/>
    <w:rsid w:val="23552125"/>
    <w:rsid w:val="23565978"/>
    <w:rsid w:val="2360668D"/>
    <w:rsid w:val="2391402C"/>
    <w:rsid w:val="23F54254"/>
    <w:rsid w:val="23FF2D04"/>
    <w:rsid w:val="245C410B"/>
    <w:rsid w:val="246C282C"/>
    <w:rsid w:val="24781529"/>
    <w:rsid w:val="24BC3AC1"/>
    <w:rsid w:val="24C862F3"/>
    <w:rsid w:val="24DD5B8E"/>
    <w:rsid w:val="24E30AE9"/>
    <w:rsid w:val="24E355C6"/>
    <w:rsid w:val="24E85782"/>
    <w:rsid w:val="253D7013"/>
    <w:rsid w:val="25400910"/>
    <w:rsid w:val="25414D23"/>
    <w:rsid w:val="25C827B7"/>
    <w:rsid w:val="25F063AE"/>
    <w:rsid w:val="26307F40"/>
    <w:rsid w:val="26367A51"/>
    <w:rsid w:val="2637307C"/>
    <w:rsid w:val="263B1689"/>
    <w:rsid w:val="268A0BF5"/>
    <w:rsid w:val="26932378"/>
    <w:rsid w:val="26BA1186"/>
    <w:rsid w:val="26CC189E"/>
    <w:rsid w:val="26F515A6"/>
    <w:rsid w:val="27243964"/>
    <w:rsid w:val="27472953"/>
    <w:rsid w:val="274B6DD8"/>
    <w:rsid w:val="2769195B"/>
    <w:rsid w:val="27CB038F"/>
    <w:rsid w:val="27F6553B"/>
    <w:rsid w:val="282A0CFA"/>
    <w:rsid w:val="284101E2"/>
    <w:rsid w:val="28460526"/>
    <w:rsid w:val="284710A6"/>
    <w:rsid w:val="285066C6"/>
    <w:rsid w:val="2858552C"/>
    <w:rsid w:val="287931CC"/>
    <w:rsid w:val="287B3F10"/>
    <w:rsid w:val="288B3B53"/>
    <w:rsid w:val="28A225F5"/>
    <w:rsid w:val="292D0B43"/>
    <w:rsid w:val="29424212"/>
    <w:rsid w:val="296920E7"/>
    <w:rsid w:val="29A36A18"/>
    <w:rsid w:val="29A879FF"/>
    <w:rsid w:val="29D84B55"/>
    <w:rsid w:val="29EC0622"/>
    <w:rsid w:val="2A0139FB"/>
    <w:rsid w:val="2A0D2231"/>
    <w:rsid w:val="2A225BFD"/>
    <w:rsid w:val="2A47428B"/>
    <w:rsid w:val="2A531705"/>
    <w:rsid w:val="2A6907C5"/>
    <w:rsid w:val="2A966858"/>
    <w:rsid w:val="2ACB3C9A"/>
    <w:rsid w:val="2AD71387"/>
    <w:rsid w:val="2B636B46"/>
    <w:rsid w:val="2B801021"/>
    <w:rsid w:val="2B970E3F"/>
    <w:rsid w:val="2BD559B4"/>
    <w:rsid w:val="2BDC0354"/>
    <w:rsid w:val="2BF04150"/>
    <w:rsid w:val="2BFA50FB"/>
    <w:rsid w:val="2C273B93"/>
    <w:rsid w:val="2C366598"/>
    <w:rsid w:val="2C501614"/>
    <w:rsid w:val="2C6F6B22"/>
    <w:rsid w:val="2C821DAD"/>
    <w:rsid w:val="2C8B42A3"/>
    <w:rsid w:val="2C8D64FD"/>
    <w:rsid w:val="2C9003EB"/>
    <w:rsid w:val="2CCF1E9B"/>
    <w:rsid w:val="2CF021D7"/>
    <w:rsid w:val="2CF56452"/>
    <w:rsid w:val="2D214A86"/>
    <w:rsid w:val="2D536E7A"/>
    <w:rsid w:val="2D7C6AC4"/>
    <w:rsid w:val="2DB92D5B"/>
    <w:rsid w:val="2E3B0272"/>
    <w:rsid w:val="2EEE4EB1"/>
    <w:rsid w:val="2EFC570F"/>
    <w:rsid w:val="2F0A3A24"/>
    <w:rsid w:val="2F1F0B51"/>
    <w:rsid w:val="2F233A0A"/>
    <w:rsid w:val="2F25260C"/>
    <w:rsid w:val="2F301FB5"/>
    <w:rsid w:val="2F4467ED"/>
    <w:rsid w:val="2F82216F"/>
    <w:rsid w:val="2FA77A65"/>
    <w:rsid w:val="2FBC2844"/>
    <w:rsid w:val="2FBD0A96"/>
    <w:rsid w:val="2FDD5BE2"/>
    <w:rsid w:val="30466A1B"/>
    <w:rsid w:val="306B43D1"/>
    <w:rsid w:val="306E0071"/>
    <w:rsid w:val="307355F9"/>
    <w:rsid w:val="30831967"/>
    <w:rsid w:val="308948C3"/>
    <w:rsid w:val="30AA341E"/>
    <w:rsid w:val="30B461D8"/>
    <w:rsid w:val="30B55F68"/>
    <w:rsid w:val="30C811A7"/>
    <w:rsid w:val="30EB37C4"/>
    <w:rsid w:val="30EB7568"/>
    <w:rsid w:val="3121616C"/>
    <w:rsid w:val="31296802"/>
    <w:rsid w:val="314366FB"/>
    <w:rsid w:val="314B5244"/>
    <w:rsid w:val="315F792B"/>
    <w:rsid w:val="319F37AE"/>
    <w:rsid w:val="31B41A25"/>
    <w:rsid w:val="321A0972"/>
    <w:rsid w:val="32241E46"/>
    <w:rsid w:val="32477DEE"/>
    <w:rsid w:val="324C3EC7"/>
    <w:rsid w:val="3267284D"/>
    <w:rsid w:val="328329E0"/>
    <w:rsid w:val="32A446B0"/>
    <w:rsid w:val="32A528C9"/>
    <w:rsid w:val="32B617CD"/>
    <w:rsid w:val="32F73F6C"/>
    <w:rsid w:val="333616AC"/>
    <w:rsid w:val="337508D2"/>
    <w:rsid w:val="3393650D"/>
    <w:rsid w:val="33B168B6"/>
    <w:rsid w:val="33EB6BBB"/>
    <w:rsid w:val="343011F3"/>
    <w:rsid w:val="3490308D"/>
    <w:rsid w:val="34E31BC8"/>
    <w:rsid w:val="34F93A32"/>
    <w:rsid w:val="35216874"/>
    <w:rsid w:val="35385794"/>
    <w:rsid w:val="353E7634"/>
    <w:rsid w:val="35404D0B"/>
    <w:rsid w:val="35774DFD"/>
    <w:rsid w:val="35A62C8F"/>
    <w:rsid w:val="35EA0FD5"/>
    <w:rsid w:val="35FD6C44"/>
    <w:rsid w:val="360751B8"/>
    <w:rsid w:val="3616050E"/>
    <w:rsid w:val="361824EF"/>
    <w:rsid w:val="363D56B2"/>
    <w:rsid w:val="36835251"/>
    <w:rsid w:val="36B117C5"/>
    <w:rsid w:val="36B702AD"/>
    <w:rsid w:val="36BE0569"/>
    <w:rsid w:val="36C34CE7"/>
    <w:rsid w:val="36CF285F"/>
    <w:rsid w:val="36D35283"/>
    <w:rsid w:val="36F4691D"/>
    <w:rsid w:val="372066A1"/>
    <w:rsid w:val="372C4753"/>
    <w:rsid w:val="3730758F"/>
    <w:rsid w:val="37330BDA"/>
    <w:rsid w:val="373D24BC"/>
    <w:rsid w:val="375C0301"/>
    <w:rsid w:val="37691503"/>
    <w:rsid w:val="376B7624"/>
    <w:rsid w:val="37853CE3"/>
    <w:rsid w:val="37A614FD"/>
    <w:rsid w:val="37BD18D7"/>
    <w:rsid w:val="37C329C2"/>
    <w:rsid w:val="37C62018"/>
    <w:rsid w:val="37F30DCD"/>
    <w:rsid w:val="37F66933"/>
    <w:rsid w:val="37FD0448"/>
    <w:rsid w:val="38353120"/>
    <w:rsid w:val="38594054"/>
    <w:rsid w:val="38647CDB"/>
    <w:rsid w:val="386C1308"/>
    <w:rsid w:val="38795984"/>
    <w:rsid w:val="38C16230"/>
    <w:rsid w:val="38E223AC"/>
    <w:rsid w:val="3905525C"/>
    <w:rsid w:val="393B033B"/>
    <w:rsid w:val="395670C8"/>
    <w:rsid w:val="398E6B1A"/>
    <w:rsid w:val="39A22AAB"/>
    <w:rsid w:val="39F07CBA"/>
    <w:rsid w:val="3A18655B"/>
    <w:rsid w:val="3A30403B"/>
    <w:rsid w:val="3ACC1F63"/>
    <w:rsid w:val="3B1712E8"/>
    <w:rsid w:val="3B223EA3"/>
    <w:rsid w:val="3B28059B"/>
    <w:rsid w:val="3B3B2E7B"/>
    <w:rsid w:val="3B3B682D"/>
    <w:rsid w:val="3B5515FA"/>
    <w:rsid w:val="3B7B54C7"/>
    <w:rsid w:val="3C076D0B"/>
    <w:rsid w:val="3C0D2201"/>
    <w:rsid w:val="3C4A761B"/>
    <w:rsid w:val="3C596818"/>
    <w:rsid w:val="3C682BFE"/>
    <w:rsid w:val="3C9F32D2"/>
    <w:rsid w:val="3CC43FCC"/>
    <w:rsid w:val="3CDC6CD7"/>
    <w:rsid w:val="3CE73685"/>
    <w:rsid w:val="3CEB7CC2"/>
    <w:rsid w:val="3CFF27E4"/>
    <w:rsid w:val="3D086573"/>
    <w:rsid w:val="3D6E0274"/>
    <w:rsid w:val="3D8042E9"/>
    <w:rsid w:val="3D9265FF"/>
    <w:rsid w:val="3E97365C"/>
    <w:rsid w:val="3E9C2F91"/>
    <w:rsid w:val="3EA01DFB"/>
    <w:rsid w:val="3EAA1859"/>
    <w:rsid w:val="3F18223E"/>
    <w:rsid w:val="3F330B40"/>
    <w:rsid w:val="3F4C55D1"/>
    <w:rsid w:val="3F505364"/>
    <w:rsid w:val="3F68014E"/>
    <w:rsid w:val="3F8D0DBF"/>
    <w:rsid w:val="3FAA26B9"/>
    <w:rsid w:val="3FAA49D8"/>
    <w:rsid w:val="3FBF6868"/>
    <w:rsid w:val="40032ACB"/>
    <w:rsid w:val="402B1C21"/>
    <w:rsid w:val="408E66D4"/>
    <w:rsid w:val="408F5013"/>
    <w:rsid w:val="409C64A6"/>
    <w:rsid w:val="40AF23BB"/>
    <w:rsid w:val="40AF7748"/>
    <w:rsid w:val="40B31B67"/>
    <w:rsid w:val="40C17845"/>
    <w:rsid w:val="40CD665F"/>
    <w:rsid w:val="41362456"/>
    <w:rsid w:val="417F0FCE"/>
    <w:rsid w:val="41862930"/>
    <w:rsid w:val="41D44FDE"/>
    <w:rsid w:val="41F442D7"/>
    <w:rsid w:val="425C7E6A"/>
    <w:rsid w:val="42721FEC"/>
    <w:rsid w:val="42B07FE6"/>
    <w:rsid w:val="42E55F6F"/>
    <w:rsid w:val="4303234F"/>
    <w:rsid w:val="438B12B5"/>
    <w:rsid w:val="43C51992"/>
    <w:rsid w:val="43F71D82"/>
    <w:rsid w:val="44516730"/>
    <w:rsid w:val="44746A1B"/>
    <w:rsid w:val="449F58DA"/>
    <w:rsid w:val="44A961CE"/>
    <w:rsid w:val="44B85861"/>
    <w:rsid w:val="44C94EFD"/>
    <w:rsid w:val="44D1307B"/>
    <w:rsid w:val="44D46146"/>
    <w:rsid w:val="45285A30"/>
    <w:rsid w:val="45395F1B"/>
    <w:rsid w:val="45683EE7"/>
    <w:rsid w:val="45CC79E9"/>
    <w:rsid w:val="45D45F2B"/>
    <w:rsid w:val="471D0409"/>
    <w:rsid w:val="47322B01"/>
    <w:rsid w:val="473B10B2"/>
    <w:rsid w:val="4740402F"/>
    <w:rsid w:val="478365B2"/>
    <w:rsid w:val="47F26F4B"/>
    <w:rsid w:val="4820108B"/>
    <w:rsid w:val="482B07E8"/>
    <w:rsid w:val="489A35D0"/>
    <w:rsid w:val="48D86C1F"/>
    <w:rsid w:val="48F63DE0"/>
    <w:rsid w:val="490B5784"/>
    <w:rsid w:val="49152E94"/>
    <w:rsid w:val="49157AFA"/>
    <w:rsid w:val="492565E2"/>
    <w:rsid w:val="49306F30"/>
    <w:rsid w:val="496F6480"/>
    <w:rsid w:val="49940662"/>
    <w:rsid w:val="4994373F"/>
    <w:rsid w:val="49C46BA1"/>
    <w:rsid w:val="49D226B1"/>
    <w:rsid w:val="49D34B8B"/>
    <w:rsid w:val="49F51AFD"/>
    <w:rsid w:val="4A131A23"/>
    <w:rsid w:val="4A1B08AE"/>
    <w:rsid w:val="4A730CAB"/>
    <w:rsid w:val="4AAB4BCD"/>
    <w:rsid w:val="4ABB70FB"/>
    <w:rsid w:val="4ACD2738"/>
    <w:rsid w:val="4B147738"/>
    <w:rsid w:val="4B173336"/>
    <w:rsid w:val="4B1A6945"/>
    <w:rsid w:val="4B3E2AF3"/>
    <w:rsid w:val="4B400F76"/>
    <w:rsid w:val="4B74064D"/>
    <w:rsid w:val="4BC13CA7"/>
    <w:rsid w:val="4BC43684"/>
    <w:rsid w:val="4BE755F7"/>
    <w:rsid w:val="4C9C2584"/>
    <w:rsid w:val="4CC254E6"/>
    <w:rsid w:val="4D17342A"/>
    <w:rsid w:val="4D6B0FA3"/>
    <w:rsid w:val="4D7D0BD3"/>
    <w:rsid w:val="4D7F3292"/>
    <w:rsid w:val="4D9E4AC9"/>
    <w:rsid w:val="4DAD7934"/>
    <w:rsid w:val="4DB6256F"/>
    <w:rsid w:val="4DC74E56"/>
    <w:rsid w:val="4DEF6F52"/>
    <w:rsid w:val="4DFF37A7"/>
    <w:rsid w:val="4E0A4029"/>
    <w:rsid w:val="4E5C21AD"/>
    <w:rsid w:val="4E6E0710"/>
    <w:rsid w:val="4EC8620B"/>
    <w:rsid w:val="4EF13DCA"/>
    <w:rsid w:val="4F2C6C47"/>
    <w:rsid w:val="4F390E25"/>
    <w:rsid w:val="4F642884"/>
    <w:rsid w:val="4F935D01"/>
    <w:rsid w:val="4F9A62A6"/>
    <w:rsid w:val="4FA62E9D"/>
    <w:rsid w:val="4FA81290"/>
    <w:rsid w:val="4FC17E9C"/>
    <w:rsid w:val="4FD0196E"/>
    <w:rsid w:val="4FD25A40"/>
    <w:rsid w:val="4FDF377D"/>
    <w:rsid w:val="4FF92F6F"/>
    <w:rsid w:val="500838C5"/>
    <w:rsid w:val="50120532"/>
    <w:rsid w:val="50244E50"/>
    <w:rsid w:val="50833DC7"/>
    <w:rsid w:val="508A009B"/>
    <w:rsid w:val="508A631B"/>
    <w:rsid w:val="509C337D"/>
    <w:rsid w:val="50BD049E"/>
    <w:rsid w:val="50D94FAE"/>
    <w:rsid w:val="50DC70B3"/>
    <w:rsid w:val="50E25B51"/>
    <w:rsid w:val="511A43D2"/>
    <w:rsid w:val="513F2197"/>
    <w:rsid w:val="51681333"/>
    <w:rsid w:val="517B587A"/>
    <w:rsid w:val="518B66FF"/>
    <w:rsid w:val="519058EF"/>
    <w:rsid w:val="51997E4E"/>
    <w:rsid w:val="519F63B8"/>
    <w:rsid w:val="51C176AB"/>
    <w:rsid w:val="51DD691E"/>
    <w:rsid w:val="5212095A"/>
    <w:rsid w:val="525237A9"/>
    <w:rsid w:val="527131DC"/>
    <w:rsid w:val="527F0E4A"/>
    <w:rsid w:val="52A50539"/>
    <w:rsid w:val="52B85A50"/>
    <w:rsid w:val="52DB4806"/>
    <w:rsid w:val="52E3223C"/>
    <w:rsid w:val="530A7663"/>
    <w:rsid w:val="53F73CC7"/>
    <w:rsid w:val="53FE6D09"/>
    <w:rsid w:val="54286266"/>
    <w:rsid w:val="54301ED7"/>
    <w:rsid w:val="543C4C10"/>
    <w:rsid w:val="546F18C5"/>
    <w:rsid w:val="547A4910"/>
    <w:rsid w:val="547F0672"/>
    <w:rsid w:val="548B683F"/>
    <w:rsid w:val="549459BA"/>
    <w:rsid w:val="54961B1B"/>
    <w:rsid w:val="549D480E"/>
    <w:rsid w:val="54C25580"/>
    <w:rsid w:val="54CF3C67"/>
    <w:rsid w:val="552F02C0"/>
    <w:rsid w:val="55576DF8"/>
    <w:rsid w:val="555F3483"/>
    <w:rsid w:val="55840BFA"/>
    <w:rsid w:val="55A002C2"/>
    <w:rsid w:val="55A31438"/>
    <w:rsid w:val="55A439DB"/>
    <w:rsid w:val="55A94F4D"/>
    <w:rsid w:val="55AA1507"/>
    <w:rsid w:val="55AE54CE"/>
    <w:rsid w:val="55BB7AA2"/>
    <w:rsid w:val="55C13965"/>
    <w:rsid w:val="55C95E4A"/>
    <w:rsid w:val="55D901FE"/>
    <w:rsid w:val="55DB7226"/>
    <w:rsid w:val="55EC00A8"/>
    <w:rsid w:val="56723B0E"/>
    <w:rsid w:val="56725381"/>
    <w:rsid w:val="56A3132C"/>
    <w:rsid w:val="56CD0781"/>
    <w:rsid w:val="56EA0581"/>
    <w:rsid w:val="570855FE"/>
    <w:rsid w:val="57782C5B"/>
    <w:rsid w:val="578B57AB"/>
    <w:rsid w:val="57995F5A"/>
    <w:rsid w:val="579B705F"/>
    <w:rsid w:val="57C4489B"/>
    <w:rsid w:val="57CB48BE"/>
    <w:rsid w:val="57E06B8B"/>
    <w:rsid w:val="57E61504"/>
    <w:rsid w:val="57FC27E0"/>
    <w:rsid w:val="58056C1A"/>
    <w:rsid w:val="587E26C5"/>
    <w:rsid w:val="589A10C5"/>
    <w:rsid w:val="58BD2177"/>
    <w:rsid w:val="58CC42F7"/>
    <w:rsid w:val="59036C6A"/>
    <w:rsid w:val="59083F01"/>
    <w:rsid w:val="592E722A"/>
    <w:rsid w:val="59306119"/>
    <w:rsid w:val="59615D8F"/>
    <w:rsid w:val="597273A0"/>
    <w:rsid w:val="59793A7F"/>
    <w:rsid w:val="597D0E83"/>
    <w:rsid w:val="59BE026E"/>
    <w:rsid w:val="59DF76D7"/>
    <w:rsid w:val="59F52C22"/>
    <w:rsid w:val="59FC2588"/>
    <w:rsid w:val="5A012D58"/>
    <w:rsid w:val="5A317807"/>
    <w:rsid w:val="5A3F3C40"/>
    <w:rsid w:val="5A415CEF"/>
    <w:rsid w:val="5A9B1124"/>
    <w:rsid w:val="5AC320DD"/>
    <w:rsid w:val="5AFB4DED"/>
    <w:rsid w:val="5B264A18"/>
    <w:rsid w:val="5B53520F"/>
    <w:rsid w:val="5B8A6ED0"/>
    <w:rsid w:val="5BAA6C51"/>
    <w:rsid w:val="5BDA46C8"/>
    <w:rsid w:val="5BDB28D1"/>
    <w:rsid w:val="5C373FC5"/>
    <w:rsid w:val="5C423F4D"/>
    <w:rsid w:val="5C480D25"/>
    <w:rsid w:val="5C7560D1"/>
    <w:rsid w:val="5C8A31FF"/>
    <w:rsid w:val="5CDF7168"/>
    <w:rsid w:val="5CEB6393"/>
    <w:rsid w:val="5CF556A1"/>
    <w:rsid w:val="5D1A5EBC"/>
    <w:rsid w:val="5D283C39"/>
    <w:rsid w:val="5D3B3F82"/>
    <w:rsid w:val="5D433310"/>
    <w:rsid w:val="5D5212CE"/>
    <w:rsid w:val="5D75094C"/>
    <w:rsid w:val="5D7F2BF2"/>
    <w:rsid w:val="5D85547F"/>
    <w:rsid w:val="5E507BA9"/>
    <w:rsid w:val="5E973E91"/>
    <w:rsid w:val="5EA774F8"/>
    <w:rsid w:val="5EAA5586"/>
    <w:rsid w:val="5EAC4E33"/>
    <w:rsid w:val="5EC64905"/>
    <w:rsid w:val="5EE50BC0"/>
    <w:rsid w:val="5EFB26FB"/>
    <w:rsid w:val="5F017E13"/>
    <w:rsid w:val="5F085AC1"/>
    <w:rsid w:val="5F1112E0"/>
    <w:rsid w:val="5F1F1E98"/>
    <w:rsid w:val="5F285DBA"/>
    <w:rsid w:val="5F442792"/>
    <w:rsid w:val="6009686F"/>
    <w:rsid w:val="60293988"/>
    <w:rsid w:val="6079360F"/>
    <w:rsid w:val="60B47B32"/>
    <w:rsid w:val="610E0EA8"/>
    <w:rsid w:val="61470B5F"/>
    <w:rsid w:val="614F321C"/>
    <w:rsid w:val="615269E1"/>
    <w:rsid w:val="615976B1"/>
    <w:rsid w:val="617C3A5E"/>
    <w:rsid w:val="6190492E"/>
    <w:rsid w:val="61905654"/>
    <w:rsid w:val="61926AA7"/>
    <w:rsid w:val="61ED45A0"/>
    <w:rsid w:val="62343218"/>
    <w:rsid w:val="624445CE"/>
    <w:rsid w:val="62590E26"/>
    <w:rsid w:val="6271769A"/>
    <w:rsid w:val="629E1243"/>
    <w:rsid w:val="632214CE"/>
    <w:rsid w:val="63352116"/>
    <w:rsid w:val="633B5253"/>
    <w:rsid w:val="634737E7"/>
    <w:rsid w:val="634B67F8"/>
    <w:rsid w:val="638D1846"/>
    <w:rsid w:val="63AF3110"/>
    <w:rsid w:val="63E94422"/>
    <w:rsid w:val="64592131"/>
    <w:rsid w:val="65183A9D"/>
    <w:rsid w:val="65407F23"/>
    <w:rsid w:val="656E0327"/>
    <w:rsid w:val="65977A35"/>
    <w:rsid w:val="65AC55AE"/>
    <w:rsid w:val="65C832DC"/>
    <w:rsid w:val="65D664A1"/>
    <w:rsid w:val="65D93559"/>
    <w:rsid w:val="6607489C"/>
    <w:rsid w:val="6661353F"/>
    <w:rsid w:val="668379D3"/>
    <w:rsid w:val="66D528A5"/>
    <w:rsid w:val="6702469E"/>
    <w:rsid w:val="67191D4F"/>
    <w:rsid w:val="676F0104"/>
    <w:rsid w:val="67CB573F"/>
    <w:rsid w:val="67CD6280"/>
    <w:rsid w:val="67DC5ACD"/>
    <w:rsid w:val="67DE2153"/>
    <w:rsid w:val="680668DD"/>
    <w:rsid w:val="680751D0"/>
    <w:rsid w:val="68174E29"/>
    <w:rsid w:val="684126D1"/>
    <w:rsid w:val="68476891"/>
    <w:rsid w:val="68B17733"/>
    <w:rsid w:val="68CE1DF7"/>
    <w:rsid w:val="68F0088D"/>
    <w:rsid w:val="69540E1C"/>
    <w:rsid w:val="69D74280"/>
    <w:rsid w:val="69D87C00"/>
    <w:rsid w:val="69E37DBD"/>
    <w:rsid w:val="6A2E78D7"/>
    <w:rsid w:val="6A415A6B"/>
    <w:rsid w:val="6A425119"/>
    <w:rsid w:val="6A4A085C"/>
    <w:rsid w:val="6A4B49AB"/>
    <w:rsid w:val="6A836CA3"/>
    <w:rsid w:val="6A8D23EA"/>
    <w:rsid w:val="6A953D0E"/>
    <w:rsid w:val="6A9C2A7B"/>
    <w:rsid w:val="6AA65F65"/>
    <w:rsid w:val="6AB204F0"/>
    <w:rsid w:val="6ADC5DAC"/>
    <w:rsid w:val="6B0773A9"/>
    <w:rsid w:val="6B2022AE"/>
    <w:rsid w:val="6B21748B"/>
    <w:rsid w:val="6B39651C"/>
    <w:rsid w:val="6BBA6494"/>
    <w:rsid w:val="6BE741CA"/>
    <w:rsid w:val="6C09032F"/>
    <w:rsid w:val="6C1F462C"/>
    <w:rsid w:val="6C4B381B"/>
    <w:rsid w:val="6C4D795C"/>
    <w:rsid w:val="6C5A42E5"/>
    <w:rsid w:val="6C616015"/>
    <w:rsid w:val="6C9F5608"/>
    <w:rsid w:val="6CCA0E2A"/>
    <w:rsid w:val="6CD24201"/>
    <w:rsid w:val="6CFB4C3C"/>
    <w:rsid w:val="6D0D7EA4"/>
    <w:rsid w:val="6D246D40"/>
    <w:rsid w:val="6D2D0302"/>
    <w:rsid w:val="6D592EA5"/>
    <w:rsid w:val="6D6A3304"/>
    <w:rsid w:val="6D890955"/>
    <w:rsid w:val="6D91745D"/>
    <w:rsid w:val="6D9804DD"/>
    <w:rsid w:val="6DDF784E"/>
    <w:rsid w:val="6DE6526B"/>
    <w:rsid w:val="6DFB3F5C"/>
    <w:rsid w:val="6E027099"/>
    <w:rsid w:val="6E0A46DB"/>
    <w:rsid w:val="6E2F7B02"/>
    <w:rsid w:val="6E4B4EC6"/>
    <w:rsid w:val="6E531DA9"/>
    <w:rsid w:val="6E715E76"/>
    <w:rsid w:val="6E7F00DA"/>
    <w:rsid w:val="6E8E2D33"/>
    <w:rsid w:val="6EBC7A38"/>
    <w:rsid w:val="6ED30A35"/>
    <w:rsid w:val="6F8561D3"/>
    <w:rsid w:val="6F9E54E7"/>
    <w:rsid w:val="6FA3563F"/>
    <w:rsid w:val="7016507D"/>
    <w:rsid w:val="70224246"/>
    <w:rsid w:val="70556F6C"/>
    <w:rsid w:val="7066558A"/>
    <w:rsid w:val="708960AF"/>
    <w:rsid w:val="70C849E9"/>
    <w:rsid w:val="70EC793E"/>
    <w:rsid w:val="70FF7F39"/>
    <w:rsid w:val="712E6F9A"/>
    <w:rsid w:val="716342F2"/>
    <w:rsid w:val="71643F3F"/>
    <w:rsid w:val="718B03DF"/>
    <w:rsid w:val="71CE1D76"/>
    <w:rsid w:val="71EB51E3"/>
    <w:rsid w:val="722E4900"/>
    <w:rsid w:val="72410F6C"/>
    <w:rsid w:val="724C0A80"/>
    <w:rsid w:val="72F53314"/>
    <w:rsid w:val="734F0EFA"/>
    <w:rsid w:val="7351106A"/>
    <w:rsid w:val="73687DCC"/>
    <w:rsid w:val="7398490A"/>
    <w:rsid w:val="73D972B7"/>
    <w:rsid w:val="73E24C64"/>
    <w:rsid w:val="740F17EE"/>
    <w:rsid w:val="742F670E"/>
    <w:rsid w:val="744D35EC"/>
    <w:rsid w:val="745703B0"/>
    <w:rsid w:val="74E32B23"/>
    <w:rsid w:val="75145E2C"/>
    <w:rsid w:val="75175B20"/>
    <w:rsid w:val="752D620C"/>
    <w:rsid w:val="7530098F"/>
    <w:rsid w:val="75396657"/>
    <w:rsid w:val="75CC1648"/>
    <w:rsid w:val="7615582C"/>
    <w:rsid w:val="7629495D"/>
    <w:rsid w:val="763F7D22"/>
    <w:rsid w:val="764F1901"/>
    <w:rsid w:val="76972ED5"/>
    <w:rsid w:val="76AF7489"/>
    <w:rsid w:val="76EC330C"/>
    <w:rsid w:val="76EE59E6"/>
    <w:rsid w:val="77244524"/>
    <w:rsid w:val="772E00F7"/>
    <w:rsid w:val="773D5B3F"/>
    <w:rsid w:val="77635841"/>
    <w:rsid w:val="77966D30"/>
    <w:rsid w:val="77A15CA5"/>
    <w:rsid w:val="77F14CA0"/>
    <w:rsid w:val="781D25EE"/>
    <w:rsid w:val="78405219"/>
    <w:rsid w:val="78574E38"/>
    <w:rsid w:val="788078D8"/>
    <w:rsid w:val="78826B33"/>
    <w:rsid w:val="78837B07"/>
    <w:rsid w:val="7896484F"/>
    <w:rsid w:val="789A33DC"/>
    <w:rsid w:val="78AE3E2D"/>
    <w:rsid w:val="78BB4AA7"/>
    <w:rsid w:val="78CD1873"/>
    <w:rsid w:val="7905551F"/>
    <w:rsid w:val="79111B39"/>
    <w:rsid w:val="794D439D"/>
    <w:rsid w:val="79B25E17"/>
    <w:rsid w:val="7A0F2BF6"/>
    <w:rsid w:val="7A2A5703"/>
    <w:rsid w:val="7A316B23"/>
    <w:rsid w:val="7A8B51BF"/>
    <w:rsid w:val="7A9F45E5"/>
    <w:rsid w:val="7AB44E04"/>
    <w:rsid w:val="7AC67AB3"/>
    <w:rsid w:val="7AFD592F"/>
    <w:rsid w:val="7B053CC0"/>
    <w:rsid w:val="7B544A13"/>
    <w:rsid w:val="7B6C0973"/>
    <w:rsid w:val="7B7575E4"/>
    <w:rsid w:val="7B826E5A"/>
    <w:rsid w:val="7B8D160E"/>
    <w:rsid w:val="7BE331CA"/>
    <w:rsid w:val="7C255ADF"/>
    <w:rsid w:val="7C3C40BE"/>
    <w:rsid w:val="7C55517F"/>
    <w:rsid w:val="7C5A2358"/>
    <w:rsid w:val="7C8950CE"/>
    <w:rsid w:val="7C8B20F5"/>
    <w:rsid w:val="7C9378C3"/>
    <w:rsid w:val="7CCC0890"/>
    <w:rsid w:val="7CD3525C"/>
    <w:rsid w:val="7CFF149D"/>
    <w:rsid w:val="7D04665E"/>
    <w:rsid w:val="7D527B9A"/>
    <w:rsid w:val="7D5F3086"/>
    <w:rsid w:val="7D613537"/>
    <w:rsid w:val="7DB9319A"/>
    <w:rsid w:val="7DC751ED"/>
    <w:rsid w:val="7DC86AF6"/>
    <w:rsid w:val="7DD52E4B"/>
    <w:rsid w:val="7DEF1222"/>
    <w:rsid w:val="7DF94F3B"/>
    <w:rsid w:val="7DFB0D0B"/>
    <w:rsid w:val="7E01151B"/>
    <w:rsid w:val="7E126485"/>
    <w:rsid w:val="7E374B3D"/>
    <w:rsid w:val="7E501E20"/>
    <w:rsid w:val="7E5D2BBA"/>
    <w:rsid w:val="7EC33B74"/>
    <w:rsid w:val="7ED8355E"/>
    <w:rsid w:val="7F1E5CFC"/>
    <w:rsid w:val="7F3C1BDD"/>
    <w:rsid w:val="7F4B66C5"/>
    <w:rsid w:val="7F501294"/>
    <w:rsid w:val="7F5D257E"/>
    <w:rsid w:val="7F651114"/>
    <w:rsid w:val="7F6E35B7"/>
    <w:rsid w:val="7F7E5250"/>
    <w:rsid w:val="7F7F20B5"/>
    <w:rsid w:val="7F811A01"/>
    <w:rsid w:val="7FC56178"/>
    <w:rsid w:val="7FDE6B45"/>
    <w:rsid w:val="7FFC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nhideWhenUsed="0" w:uiPriority="9"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2"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4" w:semiHidden="0" w:name="HTML Preformatted"/>
    <w:lsdException w:qFormat="1" w:unhideWhenUsed="0" w:uiPriority="0" w:semiHidden="0" w:name="HTML Sample"/>
    <w:lsdException w:qFormat="1" w:unhideWhenUsed="0" w:uiPriority="4"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62"/>
    <w:qFormat/>
    <w:uiPriority w:val="2"/>
    <w:pPr>
      <w:keepNext/>
      <w:numPr>
        <w:ilvl w:val="0"/>
        <w:numId w:val="1"/>
      </w:numPr>
      <w:spacing w:before="240" w:after="240"/>
      <w:outlineLvl w:val="0"/>
    </w:pPr>
    <w:rPr>
      <w:rFonts w:ascii="方正楷体_GB2312" w:hAnsi="方正楷体_GB2312"/>
      <w:sz w:val="30"/>
    </w:rPr>
  </w:style>
  <w:style w:type="paragraph" w:styleId="3">
    <w:name w:val="heading 2"/>
    <w:basedOn w:val="1"/>
    <w:next w:val="1"/>
    <w:link w:val="306"/>
    <w:qFormat/>
    <w:uiPriority w:val="2"/>
    <w:pPr>
      <w:keepNext/>
      <w:widowControl w:val="0"/>
      <w:numPr>
        <w:ilvl w:val="0"/>
        <w:numId w:val="2"/>
      </w:numPr>
      <w:tabs>
        <w:tab w:val="left" w:pos="0"/>
        <w:tab w:val="clear" w:pos="1021"/>
      </w:tabs>
      <w:ind w:left="0"/>
      <w:outlineLvl w:val="1"/>
    </w:pPr>
    <w:rPr>
      <w:rFonts w:ascii="方正楷体_GB2312" w:hAnsi="方正楷体_GB2312" w:eastAsia="微软雅黑" w:cs="Times New Roman"/>
      <w:b/>
      <w:bCs/>
      <w:kern w:val="2"/>
      <w:sz w:val="30"/>
      <w:szCs w:val="20"/>
    </w:rPr>
  </w:style>
  <w:style w:type="paragraph" w:styleId="4">
    <w:name w:val="heading 3"/>
    <w:basedOn w:val="1"/>
    <w:next w:val="1"/>
    <w:link w:val="314"/>
    <w:qFormat/>
    <w:uiPriority w:val="2"/>
    <w:pPr>
      <w:keepNext/>
      <w:widowControl w:val="0"/>
      <w:spacing w:line="360" w:lineRule="auto"/>
      <w:outlineLvl w:val="2"/>
    </w:pPr>
    <w:rPr>
      <w:rFonts w:ascii="Calibri" w:hAnsi="Calibri" w:cs="Times New Roman"/>
      <w:b/>
      <w:bCs/>
      <w:kern w:val="2"/>
      <w:szCs w:val="20"/>
    </w:rPr>
  </w:style>
  <w:style w:type="paragraph" w:styleId="5">
    <w:name w:val="heading 4"/>
    <w:basedOn w:val="1"/>
    <w:next w:val="6"/>
    <w:qFormat/>
    <w:uiPriority w:val="2"/>
    <w:pPr>
      <w:keepNext/>
      <w:widowControl w:val="0"/>
      <w:jc w:val="center"/>
      <w:outlineLvl w:val="3"/>
    </w:pPr>
    <w:rPr>
      <w:rFonts w:ascii="Calibri" w:hAnsi="Calibri" w:eastAsia="方正楷体_GB2312" w:cs="Times New Roman"/>
      <w:b/>
      <w:bCs/>
      <w:kern w:val="2"/>
      <w:sz w:val="13"/>
      <w:szCs w:val="20"/>
    </w:rPr>
  </w:style>
  <w:style w:type="paragraph" w:styleId="7">
    <w:name w:val="heading 5"/>
    <w:basedOn w:val="1"/>
    <w:next w:val="1"/>
    <w:qFormat/>
    <w:uiPriority w:val="2"/>
    <w:pPr>
      <w:keepNext/>
      <w:widowControl w:val="0"/>
      <w:numPr>
        <w:ilvl w:val="0"/>
        <w:numId w:val="3"/>
      </w:numPr>
      <w:jc w:val="both"/>
      <w:outlineLvl w:val="4"/>
    </w:pPr>
    <w:rPr>
      <w:rFonts w:ascii="方正楷体_GB2312" w:hAnsi="Calibri" w:eastAsia="方正楷体_GB2312" w:cs="Times New Roman"/>
      <w:bCs/>
      <w:kern w:val="2"/>
      <w:sz w:val="28"/>
      <w:szCs w:val="20"/>
    </w:rPr>
  </w:style>
  <w:style w:type="paragraph" w:styleId="8">
    <w:name w:val="heading 6"/>
    <w:basedOn w:val="1"/>
    <w:next w:val="1"/>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8"/>
    <w:basedOn w:val="1"/>
    <w:next w:val="1"/>
    <w:qFormat/>
    <w:uiPriority w:val="0"/>
    <w:pPr>
      <w:widowControl w:val="0"/>
      <w:numPr>
        <w:ilvl w:val="7"/>
        <w:numId w:val="4"/>
      </w:numPr>
      <w:ind w:left="0" w:firstLine="0"/>
      <w:jc w:val="center"/>
      <w:outlineLvl w:val="7"/>
    </w:pPr>
    <w:rPr>
      <w:rFonts w:ascii="Calibri" w:hAnsi="Calibri" w:eastAsia="黑体" w:cs="Times New Roman"/>
      <w:b/>
      <w:bCs/>
      <w:kern w:val="2"/>
      <w:sz w:val="21"/>
      <w:szCs w:val="20"/>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val="0"/>
      <w:ind w:firstLine="420"/>
      <w:jc w:val="both"/>
    </w:pPr>
    <w:rPr>
      <w:rFonts w:ascii="Calibri" w:hAnsi="Calibri" w:cs="Times New Roman"/>
      <w:kern w:val="2"/>
      <w:sz w:val="21"/>
      <w:szCs w:val="20"/>
    </w:rPr>
  </w:style>
  <w:style w:type="paragraph" w:styleId="10">
    <w:name w:val="Document Map"/>
    <w:basedOn w:val="1"/>
    <w:semiHidden/>
    <w:qFormat/>
    <w:uiPriority w:val="0"/>
    <w:pPr>
      <w:widowControl w:val="0"/>
      <w:shd w:val="clear" w:color="auto" w:fill="000080"/>
      <w:jc w:val="both"/>
    </w:pPr>
    <w:rPr>
      <w:rFonts w:ascii="Calibri" w:hAnsi="Calibri" w:cs="Times New Roman"/>
      <w:kern w:val="2"/>
      <w:sz w:val="21"/>
      <w:szCs w:val="20"/>
    </w:rPr>
  </w:style>
  <w:style w:type="paragraph" w:styleId="11">
    <w:name w:val="annotation text"/>
    <w:basedOn w:val="1"/>
    <w:qFormat/>
    <w:uiPriority w:val="0"/>
    <w:pPr>
      <w:widowControl w:val="0"/>
    </w:pPr>
    <w:rPr>
      <w:rFonts w:ascii="Verdana" w:hAnsi="Verdana" w:eastAsia="Times New Roman" w:cs="Times New Roman"/>
      <w:kern w:val="2"/>
      <w:sz w:val="21"/>
      <w:szCs w:val="20"/>
      <w:lang w:eastAsia="en-US"/>
    </w:rPr>
  </w:style>
  <w:style w:type="paragraph" w:styleId="12">
    <w:name w:val="Salutation"/>
    <w:basedOn w:val="1"/>
    <w:next w:val="1"/>
    <w:qFormat/>
    <w:uiPriority w:val="0"/>
    <w:pPr>
      <w:widowControl w:val="0"/>
      <w:adjustRightInd w:val="0"/>
      <w:spacing w:line="312" w:lineRule="atLeast"/>
      <w:jc w:val="both"/>
      <w:textAlignment w:val="baseline"/>
    </w:pPr>
    <w:rPr>
      <w:rFonts w:ascii="方正楷体_GB2312" w:hAnsi="Calibri" w:eastAsia="方正楷体_GB2312" w:cs="Times New Roman"/>
      <w:spacing w:val="20"/>
      <w:sz w:val="28"/>
      <w:szCs w:val="20"/>
    </w:rPr>
  </w:style>
  <w:style w:type="paragraph" w:styleId="13">
    <w:name w:val="Body Text 3"/>
    <w:basedOn w:val="1"/>
    <w:qFormat/>
    <w:uiPriority w:val="0"/>
    <w:pPr>
      <w:widowControl w:val="0"/>
      <w:jc w:val="both"/>
    </w:pPr>
    <w:rPr>
      <w:rFonts w:cs="Times New Roman"/>
      <w:kern w:val="2"/>
      <w:u w:val="single"/>
    </w:rPr>
  </w:style>
  <w:style w:type="paragraph" w:styleId="14">
    <w:name w:val="Body Text"/>
    <w:basedOn w:val="1"/>
    <w:next w:val="1"/>
    <w:qFormat/>
    <w:uiPriority w:val="0"/>
    <w:pPr>
      <w:widowControl w:val="0"/>
      <w:jc w:val="both"/>
    </w:pPr>
    <w:rPr>
      <w:rFonts w:ascii="华文中宋" w:hAnsi="Calibri" w:eastAsia="华文中宋" w:cs="Times New Roman"/>
      <w:bCs/>
      <w:kern w:val="2"/>
      <w:sz w:val="28"/>
      <w:szCs w:val="20"/>
    </w:rPr>
  </w:style>
  <w:style w:type="paragraph" w:styleId="15">
    <w:name w:val="Body Text Indent"/>
    <w:basedOn w:val="1"/>
    <w:qFormat/>
    <w:uiPriority w:val="0"/>
    <w:pPr>
      <w:widowControl w:val="0"/>
      <w:ind w:firstLine="576"/>
      <w:jc w:val="both"/>
    </w:pPr>
    <w:rPr>
      <w:rFonts w:ascii="Calibri" w:hAnsi="Calibri" w:cs="Times New Roman"/>
      <w:b/>
      <w:kern w:val="2"/>
      <w:sz w:val="30"/>
      <w:szCs w:val="20"/>
    </w:rPr>
  </w:style>
  <w:style w:type="paragraph" w:styleId="16">
    <w:name w:val="Block Text"/>
    <w:basedOn w:val="1"/>
    <w:qFormat/>
    <w:uiPriority w:val="0"/>
    <w:pPr>
      <w:widowControl w:val="0"/>
      <w:spacing w:line="500" w:lineRule="exact"/>
      <w:ind w:left="560" w:right="-15" w:hanging="560" w:hangingChars="200"/>
      <w:jc w:val="both"/>
    </w:pPr>
    <w:rPr>
      <w:rFonts w:hAnsi="Calibri" w:cs="Times New Roman"/>
      <w:kern w:val="2"/>
      <w:sz w:val="28"/>
    </w:rPr>
  </w:style>
  <w:style w:type="paragraph" w:styleId="17">
    <w:name w:val="toc 3"/>
    <w:basedOn w:val="1"/>
    <w:next w:val="1"/>
    <w:unhideWhenUsed/>
    <w:qFormat/>
    <w:uiPriority w:val="39"/>
    <w:pPr>
      <w:spacing w:after="100" w:line="259" w:lineRule="auto"/>
      <w:ind w:left="440"/>
    </w:pPr>
    <w:rPr>
      <w:rFonts w:cs="Times New Roman" w:asciiTheme="minorHAnsi" w:hAnsiTheme="minorHAnsi" w:eastAsiaTheme="minorEastAsia"/>
      <w:sz w:val="22"/>
      <w:szCs w:val="22"/>
    </w:rPr>
  </w:style>
  <w:style w:type="paragraph" w:styleId="18">
    <w:name w:val="Plain Text"/>
    <w:basedOn w:val="1"/>
    <w:qFormat/>
    <w:uiPriority w:val="0"/>
    <w:pPr>
      <w:widowControl w:val="0"/>
      <w:jc w:val="both"/>
    </w:pPr>
    <w:rPr>
      <w:rFonts w:hAnsi="Courier New" w:eastAsia="方正楷体_GB2312" w:cs="Times New Roman"/>
      <w:kern w:val="2"/>
      <w:sz w:val="26"/>
      <w:szCs w:val="20"/>
    </w:rPr>
  </w:style>
  <w:style w:type="paragraph" w:styleId="19">
    <w:name w:val="Date"/>
    <w:basedOn w:val="1"/>
    <w:next w:val="1"/>
    <w:qFormat/>
    <w:uiPriority w:val="0"/>
    <w:pPr>
      <w:widowControl w:val="0"/>
      <w:jc w:val="both"/>
    </w:pPr>
    <w:rPr>
      <w:rFonts w:ascii="Calibri" w:hAnsi="Calibri" w:eastAsia="黑体" w:cs="Times New Roman"/>
      <w:b/>
      <w:kern w:val="2"/>
      <w:sz w:val="36"/>
      <w:szCs w:val="20"/>
    </w:rPr>
  </w:style>
  <w:style w:type="paragraph" w:styleId="20">
    <w:name w:val="Body Text Indent 2"/>
    <w:basedOn w:val="1"/>
    <w:qFormat/>
    <w:uiPriority w:val="0"/>
    <w:pPr>
      <w:widowControl w:val="0"/>
      <w:ind w:left="900"/>
      <w:jc w:val="both"/>
    </w:pPr>
    <w:rPr>
      <w:rFonts w:ascii="方正楷体_GB2312" w:hAnsi="Calibri" w:eastAsia="方正楷体_GB2312" w:cs="Times New Roman"/>
      <w:b/>
      <w:kern w:val="2"/>
      <w:sz w:val="28"/>
      <w:szCs w:val="20"/>
    </w:rPr>
  </w:style>
  <w:style w:type="paragraph" w:styleId="21">
    <w:name w:val="Balloon Text"/>
    <w:basedOn w:val="1"/>
    <w:link w:val="307"/>
    <w:qFormat/>
    <w:uiPriority w:val="0"/>
    <w:pPr>
      <w:widowControl w:val="0"/>
      <w:jc w:val="both"/>
    </w:pPr>
    <w:rPr>
      <w:rFonts w:ascii="Calibri" w:hAnsi="Calibri" w:cs="Times New Roman"/>
      <w:kern w:val="2"/>
      <w:sz w:val="18"/>
      <w:szCs w:val="18"/>
    </w:rPr>
  </w:style>
  <w:style w:type="paragraph" w:styleId="22">
    <w:name w:val="footer"/>
    <w:basedOn w:val="1"/>
    <w:next w:val="1"/>
    <w:qFormat/>
    <w:uiPriority w:val="0"/>
    <w:pPr>
      <w:widowControl w:val="0"/>
      <w:tabs>
        <w:tab w:val="center" w:pos="4153"/>
        <w:tab w:val="right" w:pos="8306"/>
      </w:tabs>
      <w:snapToGrid w:val="0"/>
    </w:pPr>
    <w:rPr>
      <w:rFonts w:ascii="Calibri" w:hAnsi="Calibri" w:cs="Times New Roman"/>
      <w:kern w:val="2"/>
      <w:sz w:val="18"/>
      <w:szCs w:val="20"/>
    </w:rPr>
  </w:style>
  <w:style w:type="paragraph" w:styleId="23">
    <w:name w:val="header"/>
    <w:basedOn w:val="1"/>
    <w:qFormat/>
    <w:uiPriority w:val="0"/>
    <w:pPr>
      <w:widowControl w:val="0"/>
      <w:pBdr>
        <w:bottom w:val="single" w:color="auto" w:sz="6" w:space="1"/>
      </w:pBdr>
      <w:tabs>
        <w:tab w:val="center" w:pos="4153"/>
        <w:tab w:val="right" w:pos="8306"/>
      </w:tabs>
      <w:snapToGrid w:val="0"/>
      <w:jc w:val="center"/>
    </w:pPr>
    <w:rPr>
      <w:rFonts w:ascii="Calibri" w:hAnsi="Calibri" w:cs="Times New Roman"/>
      <w:kern w:val="2"/>
      <w:sz w:val="18"/>
      <w:szCs w:val="20"/>
    </w:rPr>
  </w:style>
  <w:style w:type="paragraph" w:styleId="24">
    <w:name w:val="toc 1"/>
    <w:basedOn w:val="1"/>
    <w:next w:val="1"/>
    <w:qFormat/>
    <w:uiPriority w:val="39"/>
    <w:pPr>
      <w:spacing w:before="120" w:after="120"/>
    </w:pPr>
    <w:rPr>
      <w:rFonts w:ascii="Arial" w:hAnsi="Arial" w:eastAsia="方正楷体_GB2312" w:cs="Times New Roman"/>
      <w:b/>
      <w:bCs/>
      <w:caps/>
      <w:sz w:val="20"/>
      <w:szCs w:val="20"/>
      <w:lang w:val="de-DE" w:eastAsia="de-AT"/>
    </w:rPr>
  </w:style>
  <w:style w:type="paragraph" w:styleId="25">
    <w:name w:val="toc 4"/>
    <w:basedOn w:val="1"/>
    <w:next w:val="1"/>
    <w:qFormat/>
    <w:uiPriority w:val="0"/>
    <w:pPr>
      <w:ind w:left="1260" w:leftChars="600"/>
    </w:pPr>
  </w:style>
  <w:style w:type="paragraph" w:styleId="26">
    <w:name w:val="Body Text Indent 3"/>
    <w:basedOn w:val="1"/>
    <w:qFormat/>
    <w:uiPriority w:val="0"/>
    <w:pPr>
      <w:widowControl w:val="0"/>
      <w:ind w:left="359" w:leftChars="171" w:firstLine="359" w:firstLineChars="171"/>
      <w:jc w:val="both"/>
    </w:pPr>
    <w:rPr>
      <w:rFonts w:ascii="Calibri" w:hAnsi="Calibri" w:cs="Times New Roman"/>
      <w:kern w:val="2"/>
      <w:sz w:val="21"/>
      <w:szCs w:val="20"/>
    </w:rPr>
  </w:style>
  <w:style w:type="paragraph" w:styleId="27">
    <w:name w:val="toc 2"/>
    <w:basedOn w:val="1"/>
    <w:next w:val="1"/>
    <w:qFormat/>
    <w:uiPriority w:val="39"/>
    <w:pPr>
      <w:widowControl w:val="0"/>
      <w:ind w:left="420" w:leftChars="200"/>
      <w:jc w:val="both"/>
    </w:pPr>
    <w:rPr>
      <w:rFonts w:ascii="Calibri" w:hAnsi="Calibri" w:cs="Times New Roman"/>
      <w:kern w:val="2"/>
      <w:sz w:val="21"/>
      <w:szCs w:val="20"/>
    </w:rPr>
  </w:style>
  <w:style w:type="paragraph" w:styleId="28">
    <w:name w:val="Body Text 2"/>
    <w:basedOn w:val="1"/>
    <w:qFormat/>
    <w:uiPriority w:val="0"/>
    <w:pPr>
      <w:widowControl w:val="0"/>
      <w:spacing w:after="120" w:line="480" w:lineRule="auto"/>
      <w:jc w:val="both"/>
    </w:pPr>
    <w:rPr>
      <w:rFonts w:ascii="Calibri" w:hAnsi="Calibri" w:cs="Times New Roman"/>
      <w:kern w:val="2"/>
      <w:sz w:val="21"/>
      <w:szCs w:val="20"/>
    </w:rPr>
  </w:style>
  <w:style w:type="paragraph" w:styleId="29">
    <w:name w:val="HTML Preformatted"/>
    <w:basedOn w:val="1"/>
    <w:unhideWhenUsed/>
    <w:qFormat/>
    <w:uiPriority w:val="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rPr>
  </w:style>
  <w:style w:type="paragraph" w:styleId="30">
    <w:name w:val="Normal (Web)"/>
    <w:basedOn w:val="1"/>
    <w:qFormat/>
    <w:uiPriority w:val="2"/>
  </w:style>
  <w:style w:type="paragraph" w:styleId="31">
    <w:name w:val="Title"/>
    <w:basedOn w:val="1"/>
    <w:next w:val="1"/>
    <w:qFormat/>
    <w:uiPriority w:val="0"/>
    <w:pPr>
      <w:widowControl w:val="0"/>
      <w:spacing w:before="120" w:after="120" w:line="360" w:lineRule="auto"/>
      <w:jc w:val="center"/>
      <w:outlineLvl w:val="0"/>
    </w:pPr>
    <w:rPr>
      <w:rFonts w:ascii="黑体" w:hAnsi="Arial" w:eastAsia="黑体" w:cs="Times New Roman"/>
      <w:b/>
      <w:bCs/>
      <w:kern w:val="2"/>
      <w:sz w:val="32"/>
      <w:szCs w:val="32"/>
    </w:rPr>
  </w:style>
  <w:style w:type="paragraph" w:styleId="32">
    <w:name w:val="Body Text First Indent"/>
    <w:basedOn w:val="14"/>
    <w:qFormat/>
    <w:uiPriority w:val="99"/>
    <w:pPr>
      <w:tabs>
        <w:tab w:val="left" w:pos="3675"/>
      </w:tabs>
      <w:spacing w:after="156" w:afterLines="50" w:line="240" w:lineRule="auto"/>
      <w:ind w:firstLine="200" w:firstLineChars="200"/>
    </w:pPr>
    <w:rPr>
      <w:rFonts w:ascii="Arial" w:hAnsi="Arial" w:eastAsia="宋体" w:cs="Times New Roman"/>
      <w:sz w:val="28"/>
      <w:szCs w:val="24"/>
      <w:lang w:val="zh-CN"/>
    </w:rPr>
  </w:style>
  <w:style w:type="table" w:styleId="34">
    <w:name w:val="Table Grid"/>
    <w:basedOn w:val="33"/>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0"/>
    <w:rPr>
      <w:color w:val="auto"/>
      <w:u w:val="none"/>
    </w:rPr>
  </w:style>
  <w:style w:type="character" w:styleId="39">
    <w:name w:val="Emphasis"/>
    <w:basedOn w:val="35"/>
    <w:qFormat/>
    <w:uiPriority w:val="0"/>
    <w:rPr>
      <w:b/>
    </w:rPr>
  </w:style>
  <w:style w:type="character" w:styleId="40">
    <w:name w:val="HTML Definition"/>
    <w:basedOn w:val="35"/>
    <w:qFormat/>
    <w:uiPriority w:val="0"/>
  </w:style>
  <w:style w:type="character" w:styleId="41">
    <w:name w:val="HTML Typewriter"/>
    <w:qFormat/>
    <w:uiPriority w:val="4"/>
    <w:rPr>
      <w:rFonts w:ascii="宋体" w:hAnsi="宋体" w:eastAsia="宋体" w:cs="宋体"/>
      <w:sz w:val="24"/>
      <w:szCs w:val="24"/>
    </w:rPr>
  </w:style>
  <w:style w:type="character" w:styleId="42">
    <w:name w:val="HTML Acronym"/>
    <w:basedOn w:val="35"/>
    <w:qFormat/>
    <w:uiPriority w:val="0"/>
  </w:style>
  <w:style w:type="character" w:styleId="43">
    <w:name w:val="HTML Variable"/>
    <w:basedOn w:val="35"/>
    <w:qFormat/>
    <w:uiPriority w:val="0"/>
  </w:style>
  <w:style w:type="character" w:styleId="44">
    <w:name w:val="Hyperlink"/>
    <w:basedOn w:val="35"/>
    <w:qFormat/>
    <w:uiPriority w:val="99"/>
    <w:rPr>
      <w:color w:val="auto"/>
      <w:u w:val="none"/>
    </w:rPr>
  </w:style>
  <w:style w:type="character" w:styleId="45">
    <w:name w:val="HTML Code"/>
    <w:basedOn w:val="35"/>
    <w:qFormat/>
    <w:uiPriority w:val="0"/>
    <w:rPr>
      <w:rFonts w:hint="default" w:ascii="Consolas" w:hAnsi="Consolas" w:eastAsia="Consolas" w:cs="Consolas"/>
      <w:sz w:val="20"/>
    </w:rPr>
  </w:style>
  <w:style w:type="character" w:styleId="46">
    <w:name w:val="annotation reference"/>
    <w:qFormat/>
    <w:uiPriority w:val="0"/>
    <w:rPr>
      <w:sz w:val="21"/>
      <w:szCs w:val="21"/>
    </w:rPr>
  </w:style>
  <w:style w:type="character" w:styleId="47">
    <w:name w:val="HTML Cite"/>
    <w:basedOn w:val="35"/>
    <w:qFormat/>
    <w:uiPriority w:val="0"/>
  </w:style>
  <w:style w:type="character" w:styleId="48">
    <w:name w:val="HTML Keyboard"/>
    <w:basedOn w:val="35"/>
    <w:qFormat/>
    <w:uiPriority w:val="0"/>
    <w:rPr>
      <w:rFonts w:ascii="Consolas" w:hAnsi="Consolas" w:eastAsia="Consolas" w:cs="Consolas"/>
      <w:sz w:val="20"/>
    </w:rPr>
  </w:style>
  <w:style w:type="character" w:styleId="49">
    <w:name w:val="HTML Sample"/>
    <w:basedOn w:val="35"/>
    <w:qFormat/>
    <w:uiPriority w:val="0"/>
    <w:rPr>
      <w:rFonts w:hint="default" w:ascii="Consolas" w:hAnsi="Consolas" w:eastAsia="Consolas" w:cs="Consolas"/>
    </w:rPr>
  </w:style>
  <w:style w:type="paragraph" w:customStyle="1" w:styleId="50">
    <w:name w:val="正文1"/>
    <w:basedOn w:val="51"/>
    <w:qFormat/>
    <w:uiPriority w:val="3"/>
    <w:pPr>
      <w:widowControl w:val="0"/>
      <w:tabs>
        <w:tab w:val="left" w:pos="1985"/>
      </w:tabs>
      <w:ind w:firstLine="540"/>
      <w:jc w:val="both"/>
    </w:pPr>
    <w:rPr>
      <w:rFonts w:ascii="Calibri" w:hAnsi="Calibri" w:cs="Times New Roman"/>
      <w:kern w:val="2"/>
      <w:szCs w:val="20"/>
    </w:rPr>
  </w:style>
  <w:style w:type="paragraph" w:customStyle="1" w:styleId="51">
    <w:name w:val="样式1"/>
    <w:basedOn w:val="27"/>
    <w:qFormat/>
    <w:uiPriority w:val="3"/>
    <w:pPr>
      <w:widowControl/>
      <w:tabs>
        <w:tab w:val="left" w:pos="1985"/>
      </w:tabs>
      <w:spacing w:before="100" w:beforeAutospacing="1" w:after="100" w:afterAutospacing="1"/>
      <w:ind w:left="110" w:leftChars="50"/>
      <w:jc w:val="left"/>
    </w:pPr>
    <w:rPr>
      <w:rFonts w:eastAsia="方正楷体_GB2312"/>
      <w:b/>
      <w:kern w:val="0"/>
      <w:sz w:val="24"/>
    </w:rPr>
  </w:style>
  <w:style w:type="paragraph" w:customStyle="1" w:styleId="52">
    <w:name w:val="Default"/>
    <w:qFormat/>
    <w:uiPriority w:val="6"/>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3">
    <w:name w:val="标书首行缩进"/>
    <w:basedOn w:val="1"/>
    <w:qFormat/>
    <w:uiPriority w:val="0"/>
    <w:pPr>
      <w:widowControl w:val="0"/>
      <w:spacing w:before="156" w:beforeLines="50" w:line="288" w:lineRule="auto"/>
      <w:ind w:firstLine="200" w:firstLineChars="200"/>
      <w:jc w:val="both"/>
    </w:pPr>
    <w:rPr>
      <w:rFonts w:ascii="Times New Roman" w:hAnsi="Times New Roman" w:cs="Times New Roman"/>
      <w:spacing w:val="16"/>
      <w:kern w:val="16"/>
    </w:rPr>
  </w:style>
  <w:style w:type="paragraph" w:customStyle="1" w:styleId="54">
    <w:name w:val="xl28"/>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Calibri" w:hAnsi="Calibri" w:cs="Times New Roman"/>
      <w:b/>
      <w:bCs/>
      <w:i/>
      <w:iCs/>
      <w:sz w:val="20"/>
      <w:szCs w:val="20"/>
    </w:rPr>
  </w:style>
  <w:style w:type="paragraph" w:customStyle="1" w:styleId="55">
    <w:name w:val="纯文本1"/>
    <w:basedOn w:val="1"/>
    <w:qFormat/>
    <w:uiPriority w:val="0"/>
    <w:pPr>
      <w:widowControl w:val="0"/>
      <w:adjustRightInd w:val="0"/>
      <w:jc w:val="both"/>
      <w:textAlignment w:val="baseline"/>
    </w:pPr>
    <w:rPr>
      <w:rFonts w:hAnsi="Courier New" w:eastAsia="方正楷体_GB2312" w:cs="Times New Roman"/>
      <w:kern w:val="2"/>
      <w:sz w:val="26"/>
      <w:szCs w:val="20"/>
    </w:rPr>
  </w:style>
  <w:style w:type="paragraph" w:customStyle="1" w:styleId="56">
    <w:name w:val="xl31"/>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方正楷体_GB2312" w:eastAsia="方正楷体_GB2312" w:cs="Times New Roman"/>
      <w:b/>
      <w:bCs/>
    </w:rPr>
  </w:style>
  <w:style w:type="paragraph" w:customStyle="1" w:styleId="57">
    <w:name w:val="表格文字"/>
    <w:basedOn w:val="1"/>
    <w:qFormat/>
    <w:uiPriority w:val="0"/>
    <w:pPr>
      <w:widowControl w:val="0"/>
      <w:jc w:val="center"/>
    </w:pPr>
    <w:rPr>
      <w:rFonts w:ascii="Calibri" w:hAnsi="Calibri" w:cs="Times New Roman"/>
      <w:color w:val="000000"/>
      <w:kern w:val="2"/>
    </w:rPr>
  </w:style>
  <w:style w:type="paragraph" w:customStyle="1" w:styleId="58">
    <w:name w:val="xl67"/>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0"/>
      <w:szCs w:val="20"/>
    </w:rPr>
  </w:style>
  <w:style w:type="paragraph" w:customStyle="1" w:styleId="59">
    <w:name w:val="xl141"/>
    <w:basedOn w:val="1"/>
    <w:qFormat/>
    <w:uiPriority w:val="3"/>
    <w:pPr>
      <w:pBdr>
        <w:top w:val="single" w:color="auto" w:sz="4" w:space="0"/>
        <w:left w:val="single" w:color="auto" w:sz="4" w:space="0"/>
        <w:bottom w:val="single" w:color="auto" w:sz="4" w:space="0"/>
      </w:pBdr>
      <w:shd w:val="clear" w:color="000000" w:fill="FFFFFF"/>
      <w:spacing w:before="100" w:beforeAutospacing="1" w:after="100" w:afterAutospacing="1"/>
    </w:pPr>
    <w:rPr>
      <w:b/>
      <w:bCs/>
      <w:sz w:val="20"/>
      <w:szCs w:val="20"/>
    </w:rPr>
  </w:style>
  <w:style w:type="paragraph" w:customStyle="1" w:styleId="60">
    <w:name w:val="xl74"/>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61">
    <w:name w:val="xl109"/>
    <w:basedOn w:val="1"/>
    <w:qFormat/>
    <w:uiPriority w:val="3"/>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pPr>
    <w:rPr>
      <w:sz w:val="20"/>
      <w:szCs w:val="20"/>
    </w:rPr>
  </w:style>
  <w:style w:type="paragraph" w:customStyle="1" w:styleId="62">
    <w:name w:val="xl71"/>
    <w:basedOn w:val="1"/>
    <w:qFormat/>
    <w:uiPriority w:val="3"/>
    <w:pPr>
      <w:spacing w:before="100" w:beforeAutospacing="1" w:after="100" w:afterAutospacing="1"/>
      <w:jc w:val="center"/>
    </w:pPr>
  </w:style>
  <w:style w:type="paragraph" w:customStyle="1" w:styleId="63">
    <w:name w:val="font19"/>
    <w:basedOn w:val="1"/>
    <w:qFormat/>
    <w:uiPriority w:val="6"/>
    <w:pPr>
      <w:spacing w:before="100" w:beforeAutospacing="1" w:after="100" w:afterAutospacing="1"/>
    </w:pPr>
    <w:rPr>
      <w:sz w:val="20"/>
      <w:szCs w:val="20"/>
    </w:rPr>
  </w:style>
  <w:style w:type="paragraph" w:customStyle="1" w:styleId="64">
    <w:name w:val="xl54"/>
    <w:basedOn w:val="1"/>
    <w:qFormat/>
    <w:uiPriority w:val="3"/>
    <w:pPr>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cs="Times New Roman"/>
      <w:b/>
      <w:bCs/>
      <w:sz w:val="20"/>
      <w:szCs w:val="20"/>
    </w:rPr>
  </w:style>
  <w:style w:type="paragraph" w:customStyle="1" w:styleId="65">
    <w:name w:val="xl61"/>
    <w:basedOn w:val="1"/>
    <w:qFormat/>
    <w:uiPriority w:val="3"/>
    <w:pPr>
      <w:pBdr>
        <w:top w:val="single" w:color="auto" w:sz="4" w:space="0"/>
        <w:bottom w:val="single" w:color="auto" w:sz="4" w:space="0"/>
      </w:pBdr>
      <w:shd w:val="clear" w:color="auto" w:fill="969696"/>
      <w:spacing w:before="100" w:beforeAutospacing="1" w:after="100" w:afterAutospacing="1"/>
      <w:jc w:val="center"/>
      <w:textAlignment w:val="center"/>
    </w:pPr>
    <w:rPr>
      <w:rFonts w:ascii="Calibri" w:hAnsi="Calibri" w:cs="Times New Roman"/>
      <w:b/>
      <w:bCs/>
      <w:i/>
      <w:iCs/>
      <w:sz w:val="20"/>
      <w:szCs w:val="20"/>
    </w:rPr>
  </w:style>
  <w:style w:type="paragraph" w:customStyle="1" w:styleId="66">
    <w:name w:val="xl75"/>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67">
    <w:name w:val="font15"/>
    <w:basedOn w:val="1"/>
    <w:qFormat/>
    <w:uiPriority w:val="6"/>
    <w:pPr>
      <w:spacing w:before="100" w:beforeAutospacing="1" w:after="100" w:afterAutospacing="1"/>
    </w:pPr>
    <w:rPr>
      <w:sz w:val="18"/>
      <w:szCs w:val="18"/>
    </w:rPr>
  </w:style>
  <w:style w:type="paragraph" w:customStyle="1" w:styleId="68">
    <w:name w:val="xl83"/>
    <w:basedOn w:val="1"/>
    <w:qFormat/>
    <w:uiPriority w:val="3"/>
    <w:pPr>
      <w:pBdr>
        <w:top w:val="single" w:color="auto" w:sz="4" w:space="0"/>
        <w:left w:val="single" w:color="auto" w:sz="8" w:space="0"/>
        <w:bottom w:val="single" w:color="auto" w:sz="4" w:space="0"/>
        <w:right w:val="single" w:color="auto" w:sz="4" w:space="0"/>
      </w:pBdr>
      <w:spacing w:before="100" w:beforeAutospacing="1" w:after="100" w:afterAutospacing="1"/>
      <w:jc w:val="center"/>
    </w:pPr>
    <w:rPr>
      <w:sz w:val="20"/>
      <w:szCs w:val="20"/>
    </w:rPr>
  </w:style>
  <w:style w:type="paragraph" w:customStyle="1" w:styleId="69">
    <w:name w:val="xl84"/>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70">
    <w:name w:val="font35"/>
    <w:basedOn w:val="1"/>
    <w:qFormat/>
    <w:uiPriority w:val="6"/>
    <w:pPr>
      <w:spacing w:before="100" w:beforeAutospacing="1" w:after="100" w:afterAutospacing="1"/>
    </w:pPr>
    <w:rPr>
      <w:sz w:val="20"/>
      <w:szCs w:val="20"/>
    </w:rPr>
  </w:style>
  <w:style w:type="paragraph" w:customStyle="1" w:styleId="71">
    <w:name w:val="font29"/>
    <w:basedOn w:val="1"/>
    <w:qFormat/>
    <w:uiPriority w:val="6"/>
    <w:pPr>
      <w:spacing w:before="100" w:beforeAutospacing="1" w:after="100" w:afterAutospacing="1"/>
    </w:pPr>
    <w:rPr>
      <w:sz w:val="20"/>
      <w:szCs w:val="20"/>
    </w:rPr>
  </w:style>
  <w:style w:type="paragraph" w:customStyle="1" w:styleId="72">
    <w:name w:val="xl138"/>
    <w:basedOn w:val="1"/>
    <w:qFormat/>
    <w:uiPriority w:val="3"/>
    <w:pPr>
      <w:pBdr>
        <w:top w:val="single" w:color="auto" w:sz="8" w:space="0"/>
        <w:left w:val="single" w:color="auto" w:sz="4" w:space="0"/>
        <w:bottom w:val="single" w:color="auto" w:sz="8" w:space="0"/>
        <w:right w:val="single" w:color="auto" w:sz="4" w:space="0"/>
      </w:pBdr>
      <w:spacing w:before="100" w:beforeAutospacing="1" w:after="100" w:afterAutospacing="1"/>
      <w:jc w:val="center"/>
    </w:pPr>
    <w:rPr>
      <w:b/>
      <w:bCs/>
    </w:rPr>
  </w:style>
  <w:style w:type="paragraph" w:styleId="73">
    <w:name w:val="List Paragraph"/>
    <w:basedOn w:val="1"/>
    <w:qFormat/>
    <w:uiPriority w:val="0"/>
    <w:pPr>
      <w:widowControl w:val="0"/>
      <w:ind w:firstLine="420" w:firstLineChars="200"/>
      <w:jc w:val="both"/>
    </w:pPr>
    <w:rPr>
      <w:rFonts w:ascii="Calibri" w:hAnsi="Calibri" w:cs="Times New Roman"/>
      <w:kern w:val="2"/>
      <w:sz w:val="21"/>
      <w:szCs w:val="20"/>
    </w:rPr>
  </w:style>
  <w:style w:type="paragraph" w:customStyle="1" w:styleId="74">
    <w:name w:val="1"/>
    <w:basedOn w:val="1"/>
    <w:semiHidden/>
    <w:qFormat/>
    <w:uiPriority w:val="1"/>
    <w:pPr>
      <w:spacing w:after="160" w:line="240" w:lineRule="exact"/>
    </w:pPr>
    <w:rPr>
      <w:rFonts w:ascii="Verdana" w:hAnsi="Verdana"/>
      <w:sz w:val="20"/>
      <w:lang w:eastAsia="en-US"/>
    </w:rPr>
  </w:style>
  <w:style w:type="paragraph" w:customStyle="1" w:styleId="75">
    <w:name w:val="xl128"/>
    <w:basedOn w:val="1"/>
    <w:qFormat/>
    <w:uiPriority w:val="3"/>
    <w:pPr>
      <w:pBdr>
        <w:top w:val="single" w:color="auto" w:sz="8" w:space="0"/>
        <w:left w:val="single" w:color="auto" w:sz="8" w:space="0"/>
        <w:bottom w:val="single" w:color="auto" w:sz="4" w:space="0"/>
        <w:right w:val="single" w:color="auto" w:sz="4" w:space="0"/>
      </w:pBdr>
      <w:spacing w:before="100" w:beforeAutospacing="1" w:after="100" w:afterAutospacing="1"/>
      <w:jc w:val="center"/>
    </w:pPr>
    <w:rPr>
      <w:b/>
      <w:bCs/>
    </w:rPr>
  </w:style>
  <w:style w:type="paragraph" w:customStyle="1" w:styleId="76">
    <w:name w:val="_Style 2"/>
    <w:basedOn w:val="1"/>
    <w:qFormat/>
    <w:uiPriority w:val="7"/>
    <w:pPr>
      <w:widowControl w:val="0"/>
      <w:ind w:firstLine="420" w:firstLineChars="200"/>
      <w:jc w:val="both"/>
    </w:pPr>
    <w:rPr>
      <w:rFonts w:ascii="Calibri" w:hAnsi="Calibri" w:cs="Times New Roman"/>
      <w:kern w:val="2"/>
      <w:sz w:val="21"/>
      <w:szCs w:val="20"/>
    </w:rPr>
  </w:style>
  <w:style w:type="paragraph" w:customStyle="1" w:styleId="77">
    <w:name w:val="xl105"/>
    <w:basedOn w:val="1"/>
    <w:qFormat/>
    <w:uiPriority w:val="3"/>
    <w:pPr>
      <w:pBdr>
        <w:left w:val="single" w:color="auto" w:sz="4"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78">
    <w:name w:val="xl62"/>
    <w:basedOn w:val="1"/>
    <w:qFormat/>
    <w:uiPriority w:val="3"/>
    <w:pPr>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rFonts w:ascii="Calibri" w:hAnsi="Calibri" w:cs="Times New Roman"/>
      <w:b/>
      <w:bCs/>
      <w:i/>
      <w:iCs/>
      <w:sz w:val="20"/>
      <w:szCs w:val="20"/>
    </w:rPr>
  </w:style>
  <w:style w:type="paragraph" w:customStyle="1" w:styleId="79">
    <w:name w:val="xl35"/>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Times New Roman"/>
      <w:b/>
      <w:bCs/>
      <w:i/>
      <w:iCs/>
      <w:sz w:val="20"/>
      <w:szCs w:val="20"/>
    </w:rPr>
  </w:style>
  <w:style w:type="paragraph" w:customStyle="1" w:styleId="80">
    <w:name w:val="font24"/>
    <w:basedOn w:val="1"/>
    <w:qFormat/>
    <w:uiPriority w:val="6"/>
    <w:pPr>
      <w:spacing w:before="100" w:beforeAutospacing="1" w:after="100" w:afterAutospacing="1"/>
    </w:pPr>
    <w:rPr>
      <w:sz w:val="18"/>
      <w:szCs w:val="18"/>
    </w:rPr>
  </w:style>
  <w:style w:type="paragraph" w:customStyle="1" w:styleId="81">
    <w:name w:val="正文文本缩进 21"/>
    <w:basedOn w:val="1"/>
    <w:qFormat/>
    <w:uiPriority w:val="0"/>
    <w:pPr>
      <w:widowControl w:val="0"/>
      <w:snapToGrid w:val="0"/>
      <w:spacing w:line="420" w:lineRule="atLeast"/>
      <w:ind w:firstLine="420"/>
      <w:jc w:val="both"/>
    </w:pPr>
    <w:rPr>
      <w:rFonts w:ascii="Calibri" w:hAnsi="Calibri" w:cs="Times New Roman"/>
      <w:kern w:val="2"/>
      <w:sz w:val="21"/>
      <w:szCs w:val="20"/>
    </w:rPr>
  </w:style>
  <w:style w:type="paragraph" w:customStyle="1" w:styleId="82">
    <w:name w:val="xl33"/>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b/>
      <w:bCs/>
      <w:sz w:val="20"/>
      <w:szCs w:val="20"/>
    </w:rPr>
  </w:style>
  <w:style w:type="paragraph" w:customStyle="1" w:styleId="83">
    <w:name w:val="xl76"/>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84">
    <w:name w:val="xl140"/>
    <w:basedOn w:val="1"/>
    <w:qFormat/>
    <w:uiPriority w:val="3"/>
    <w:pPr>
      <w:pBdr>
        <w:top w:val="single" w:color="auto" w:sz="4" w:space="0"/>
        <w:left w:val="single" w:color="auto" w:sz="4" w:space="0"/>
        <w:bottom w:val="single" w:color="auto" w:sz="4" w:space="0"/>
      </w:pBdr>
      <w:shd w:val="clear" w:color="000000" w:fill="FFFFFF"/>
      <w:spacing w:before="100" w:beforeAutospacing="1" w:after="100" w:afterAutospacing="1"/>
    </w:pPr>
    <w:rPr>
      <w:b/>
      <w:bCs/>
      <w:sz w:val="20"/>
      <w:szCs w:val="20"/>
    </w:rPr>
  </w:style>
  <w:style w:type="paragraph" w:customStyle="1" w:styleId="85">
    <w:name w:val="Char Char Char Char"/>
    <w:basedOn w:val="10"/>
    <w:qFormat/>
    <w:uiPriority w:val="6"/>
    <w:pPr>
      <w:adjustRightInd w:val="0"/>
      <w:snapToGrid w:val="0"/>
      <w:spacing w:line="360" w:lineRule="auto"/>
    </w:pPr>
    <w:rPr>
      <w:rFonts w:ascii="Tahoma" w:hAnsi="Tahoma"/>
      <w:sz w:val="24"/>
      <w:szCs w:val="24"/>
    </w:rPr>
  </w:style>
  <w:style w:type="paragraph" w:customStyle="1" w:styleId="86">
    <w:name w:val="font40"/>
    <w:basedOn w:val="1"/>
    <w:qFormat/>
    <w:uiPriority w:val="6"/>
    <w:pPr>
      <w:spacing w:before="100" w:beforeAutospacing="1" w:after="100" w:afterAutospacing="1"/>
    </w:pPr>
    <w:rPr>
      <w:sz w:val="20"/>
      <w:szCs w:val="20"/>
    </w:rPr>
  </w:style>
  <w:style w:type="paragraph" w:customStyle="1" w:styleId="87">
    <w:name w:val="xl139"/>
    <w:basedOn w:val="1"/>
    <w:qFormat/>
    <w:uiPriority w:val="3"/>
    <w:pPr>
      <w:pBdr>
        <w:top w:val="single" w:color="auto" w:sz="8" w:space="0"/>
        <w:left w:val="single" w:color="auto" w:sz="4" w:space="0"/>
        <w:bottom w:val="single" w:color="auto" w:sz="8" w:space="0"/>
        <w:right w:val="single" w:color="auto" w:sz="8" w:space="0"/>
      </w:pBdr>
      <w:spacing w:before="100" w:beforeAutospacing="1" w:after="100" w:afterAutospacing="1"/>
      <w:jc w:val="center"/>
    </w:pPr>
    <w:rPr>
      <w:b/>
      <w:bCs/>
    </w:rPr>
  </w:style>
  <w:style w:type="paragraph" w:customStyle="1" w:styleId="88">
    <w:name w:val="xl34"/>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Calibri" w:hAnsi="Calibri" w:cs="Times New Roman"/>
      <w:b/>
      <w:bCs/>
      <w:i/>
      <w:iCs/>
      <w:sz w:val="20"/>
      <w:szCs w:val="20"/>
    </w:rPr>
  </w:style>
  <w:style w:type="paragraph" w:customStyle="1" w:styleId="89">
    <w:name w:val="xl46"/>
    <w:basedOn w:val="1"/>
    <w:qFormat/>
    <w:uiPriority w:val="3"/>
    <w:pPr>
      <w:pBdr>
        <w:left w:val="single" w:color="auto" w:sz="4" w:space="0"/>
        <w:right w:val="single" w:color="auto" w:sz="4" w:space="0"/>
      </w:pBdr>
      <w:spacing w:before="100" w:beforeAutospacing="1" w:after="100" w:afterAutospacing="1"/>
      <w:jc w:val="center"/>
      <w:textAlignment w:val="center"/>
    </w:pPr>
    <w:rPr>
      <w:rFonts w:cs="Times New Roman"/>
    </w:rPr>
  </w:style>
  <w:style w:type="paragraph" w:customStyle="1" w:styleId="90">
    <w:name w:val="p0"/>
    <w:basedOn w:val="1"/>
    <w:qFormat/>
    <w:uiPriority w:val="0"/>
    <w:rPr>
      <w:rFonts w:ascii="Calibri" w:hAnsi="Calibri" w:cs="Times New Roman"/>
      <w:szCs w:val="21"/>
    </w:rPr>
  </w:style>
  <w:style w:type="paragraph" w:customStyle="1" w:styleId="91">
    <w:name w:val="font21"/>
    <w:basedOn w:val="1"/>
    <w:qFormat/>
    <w:uiPriority w:val="6"/>
    <w:pPr>
      <w:spacing w:before="100" w:beforeAutospacing="1" w:after="100" w:afterAutospacing="1"/>
    </w:pPr>
    <w:rPr>
      <w:sz w:val="20"/>
      <w:szCs w:val="20"/>
    </w:rPr>
  </w:style>
  <w:style w:type="paragraph" w:customStyle="1" w:styleId="92">
    <w:name w:val="xl107"/>
    <w:basedOn w:val="1"/>
    <w:qFormat/>
    <w:uiPriority w:val="3"/>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jc w:val="center"/>
    </w:pPr>
    <w:rPr>
      <w:sz w:val="20"/>
      <w:szCs w:val="20"/>
    </w:rPr>
  </w:style>
  <w:style w:type="paragraph" w:customStyle="1" w:styleId="93">
    <w:name w:val="font10"/>
    <w:basedOn w:val="1"/>
    <w:qFormat/>
    <w:uiPriority w:val="6"/>
    <w:pPr>
      <w:spacing w:before="100" w:beforeAutospacing="1" w:after="100" w:afterAutospacing="1"/>
    </w:pPr>
    <w:rPr>
      <w:rFonts w:hint="eastAsia" w:ascii="方正楷体_GB2312" w:eastAsia="方正楷体_GB2312" w:cs="Times New Roman"/>
      <w:b/>
      <w:bCs/>
      <w:sz w:val="18"/>
      <w:szCs w:val="18"/>
    </w:rPr>
  </w:style>
  <w:style w:type="paragraph" w:customStyle="1" w:styleId="94">
    <w:name w:val="xl133"/>
    <w:basedOn w:val="1"/>
    <w:qFormat/>
    <w:uiPriority w:val="3"/>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pPr>
    <w:rPr>
      <w:b/>
      <w:bCs/>
      <w:sz w:val="20"/>
      <w:szCs w:val="20"/>
    </w:rPr>
  </w:style>
  <w:style w:type="paragraph" w:customStyle="1" w:styleId="95">
    <w:name w:val="xl118"/>
    <w:basedOn w:val="1"/>
    <w:qFormat/>
    <w:uiPriority w:val="3"/>
    <w:pPr>
      <w:pBdr>
        <w:top w:val="single" w:color="auto" w:sz="8" w:space="0"/>
        <w:left w:val="single" w:color="auto" w:sz="8"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96">
    <w:name w:val="_Style 3"/>
    <w:qFormat/>
    <w:uiPriority w:val="1"/>
    <w:rPr>
      <w:rFonts w:ascii="Calibri" w:hAnsi="Calibri" w:eastAsia="宋体" w:cs="Times New Roman"/>
      <w:sz w:val="22"/>
      <w:szCs w:val="22"/>
      <w:lang w:val="en-US" w:eastAsia="zh-CN" w:bidi="ar-SA"/>
    </w:rPr>
  </w:style>
  <w:style w:type="paragraph" w:customStyle="1" w:styleId="97">
    <w:name w:val="font6"/>
    <w:basedOn w:val="1"/>
    <w:qFormat/>
    <w:uiPriority w:val="6"/>
    <w:pPr>
      <w:spacing w:before="100" w:beforeAutospacing="1" w:after="100" w:afterAutospacing="1"/>
    </w:pPr>
    <w:rPr>
      <w:rFonts w:hint="eastAsia" w:cs="Times New Roman"/>
      <w:b/>
      <w:bCs/>
      <w:sz w:val="20"/>
      <w:szCs w:val="20"/>
    </w:rPr>
  </w:style>
  <w:style w:type="paragraph" w:customStyle="1" w:styleId="98">
    <w:name w:val="xl88"/>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8"/>
      <w:szCs w:val="18"/>
    </w:rPr>
  </w:style>
  <w:style w:type="paragraph" w:customStyle="1" w:styleId="99">
    <w:name w:val="xl57"/>
    <w:basedOn w:val="1"/>
    <w:qFormat/>
    <w:uiPriority w:val="3"/>
    <w:pPr>
      <w:pBdr>
        <w:top w:val="single" w:color="auto" w:sz="4" w:space="0"/>
        <w:left w:val="single" w:color="auto" w:sz="4" w:space="0"/>
        <w:right w:val="single" w:color="auto" w:sz="4" w:space="0"/>
      </w:pBdr>
      <w:spacing w:before="100" w:beforeAutospacing="1" w:after="100" w:afterAutospacing="1"/>
      <w:jc w:val="center"/>
      <w:textAlignment w:val="center"/>
    </w:pPr>
    <w:rPr>
      <w:rFonts w:ascii="Calibri" w:hAnsi="Calibri" w:cs="Times New Roman"/>
      <w:b/>
      <w:bCs/>
      <w:i/>
      <w:iCs/>
      <w:sz w:val="20"/>
      <w:szCs w:val="20"/>
    </w:rPr>
  </w:style>
  <w:style w:type="paragraph" w:customStyle="1" w:styleId="100">
    <w:name w:val="font13"/>
    <w:basedOn w:val="1"/>
    <w:qFormat/>
    <w:uiPriority w:val="6"/>
    <w:pPr>
      <w:spacing w:before="100" w:beforeAutospacing="1" w:after="100" w:afterAutospacing="1"/>
    </w:pPr>
    <w:rPr>
      <w:rFonts w:ascii="Calibri" w:hAnsi="Calibri" w:cs="Times New Roman"/>
      <w:i/>
      <w:iCs/>
      <w:sz w:val="36"/>
      <w:szCs w:val="36"/>
    </w:rPr>
  </w:style>
  <w:style w:type="paragraph" w:customStyle="1" w:styleId="101">
    <w:name w:val="xl60"/>
    <w:basedOn w:val="1"/>
    <w:qFormat/>
    <w:uiPriority w:val="3"/>
    <w:pPr>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Calibri" w:hAnsi="Calibri" w:cs="Times New Roman"/>
      <w:b/>
      <w:bCs/>
      <w:i/>
      <w:iCs/>
      <w:sz w:val="20"/>
      <w:szCs w:val="20"/>
    </w:rPr>
  </w:style>
  <w:style w:type="paragraph" w:customStyle="1" w:styleId="102">
    <w:name w:val="批注主题1"/>
    <w:basedOn w:val="11"/>
    <w:next w:val="11"/>
    <w:qFormat/>
    <w:uiPriority w:val="0"/>
    <w:rPr>
      <w:b/>
      <w:bCs/>
    </w:rPr>
  </w:style>
  <w:style w:type="paragraph" w:customStyle="1" w:styleId="103">
    <w:name w:val="font16"/>
    <w:basedOn w:val="1"/>
    <w:qFormat/>
    <w:uiPriority w:val="6"/>
    <w:pPr>
      <w:spacing w:before="100" w:beforeAutospacing="1" w:after="100" w:afterAutospacing="1"/>
    </w:pPr>
    <w:rPr>
      <w:sz w:val="20"/>
      <w:szCs w:val="20"/>
    </w:rPr>
  </w:style>
  <w:style w:type="paragraph" w:customStyle="1" w:styleId="104">
    <w:name w:val="xl121"/>
    <w:basedOn w:val="1"/>
    <w:qFormat/>
    <w:uiPriority w:val="3"/>
    <w:pPr>
      <w:pBdr>
        <w:top w:val="single" w:color="auto" w:sz="8" w:space="0"/>
        <w:bottom w:val="single" w:color="auto" w:sz="8" w:space="0"/>
      </w:pBdr>
      <w:shd w:val="clear" w:color="000000" w:fill="FFFFFF"/>
      <w:spacing w:before="100" w:beforeAutospacing="1" w:after="100" w:afterAutospacing="1"/>
      <w:jc w:val="center"/>
    </w:pPr>
    <w:rPr>
      <w:b/>
      <w:bCs/>
    </w:rPr>
  </w:style>
  <w:style w:type="paragraph" w:customStyle="1" w:styleId="105">
    <w:name w:val="font12"/>
    <w:basedOn w:val="1"/>
    <w:qFormat/>
    <w:uiPriority w:val="6"/>
    <w:pPr>
      <w:spacing w:before="100" w:beforeAutospacing="1" w:after="100" w:afterAutospacing="1"/>
    </w:pPr>
    <w:rPr>
      <w:rFonts w:hint="eastAsia" w:cs="Times New Roman"/>
      <w:sz w:val="36"/>
      <w:szCs w:val="36"/>
    </w:rPr>
  </w:style>
  <w:style w:type="paragraph" w:customStyle="1" w:styleId="106">
    <w:name w:val="font14"/>
    <w:basedOn w:val="1"/>
    <w:qFormat/>
    <w:uiPriority w:val="6"/>
    <w:pPr>
      <w:spacing w:before="100" w:beforeAutospacing="1" w:after="100" w:afterAutospacing="1"/>
    </w:pPr>
    <w:rPr>
      <w:rFonts w:ascii="Calibri" w:hAnsi="Calibri" w:cs="Times New Roman"/>
      <w:sz w:val="36"/>
      <w:szCs w:val="36"/>
    </w:rPr>
  </w:style>
  <w:style w:type="paragraph" w:customStyle="1" w:styleId="107">
    <w:name w:val="xl124"/>
    <w:basedOn w:val="1"/>
    <w:qFormat/>
    <w:uiPriority w:val="3"/>
    <w:pPr>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pPr>
    <w:rPr>
      <w:b/>
      <w:bCs/>
      <w:sz w:val="20"/>
      <w:szCs w:val="20"/>
    </w:rPr>
  </w:style>
  <w:style w:type="paragraph" w:customStyle="1" w:styleId="108">
    <w:name w:val="xl96"/>
    <w:basedOn w:val="1"/>
    <w:qFormat/>
    <w:uiPriority w:val="3"/>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b/>
      <w:bCs/>
      <w:sz w:val="20"/>
      <w:szCs w:val="20"/>
    </w:rPr>
  </w:style>
  <w:style w:type="paragraph" w:customStyle="1" w:styleId="109">
    <w:name w:val="xl103"/>
    <w:basedOn w:val="1"/>
    <w:qFormat/>
    <w:uiPriority w:val="3"/>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b/>
      <w:bCs/>
      <w:sz w:val="20"/>
      <w:szCs w:val="20"/>
    </w:rPr>
  </w:style>
  <w:style w:type="paragraph" w:customStyle="1" w:styleId="110">
    <w:name w:val="Char1 Char Char Char"/>
    <w:basedOn w:val="1"/>
    <w:qFormat/>
    <w:uiPriority w:val="6"/>
    <w:pPr>
      <w:widowControl w:val="0"/>
      <w:jc w:val="both"/>
    </w:pPr>
    <w:rPr>
      <w:rFonts w:ascii="Calibri" w:hAnsi="Calibri" w:cs="Times New Roman"/>
      <w:kern w:val="2"/>
      <w:sz w:val="21"/>
    </w:rPr>
  </w:style>
  <w:style w:type="paragraph" w:customStyle="1" w:styleId="111">
    <w:name w:val="xl130"/>
    <w:basedOn w:val="1"/>
    <w:qFormat/>
    <w:uiPriority w:val="3"/>
    <w:pPr>
      <w:pBdr>
        <w:top w:val="single" w:color="auto" w:sz="8" w:space="0"/>
        <w:left w:val="single" w:color="auto" w:sz="4" w:space="0"/>
        <w:bottom w:val="single" w:color="auto" w:sz="4" w:space="0"/>
        <w:right w:val="single" w:color="auto" w:sz="8" w:space="0"/>
      </w:pBdr>
      <w:spacing w:before="100" w:beforeAutospacing="1" w:after="100" w:afterAutospacing="1"/>
      <w:jc w:val="center"/>
    </w:pPr>
    <w:rPr>
      <w:b/>
      <w:bCs/>
    </w:rPr>
  </w:style>
  <w:style w:type="paragraph" w:customStyle="1" w:styleId="112">
    <w:name w:val="font37"/>
    <w:basedOn w:val="1"/>
    <w:qFormat/>
    <w:uiPriority w:val="6"/>
    <w:pPr>
      <w:spacing w:before="100" w:beforeAutospacing="1" w:after="100" w:afterAutospacing="1"/>
    </w:pPr>
    <w:rPr>
      <w:sz w:val="20"/>
      <w:szCs w:val="20"/>
    </w:rPr>
  </w:style>
  <w:style w:type="paragraph" w:customStyle="1" w:styleId="113">
    <w:name w:val="xl70"/>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114">
    <w:name w:val="xl45"/>
    <w:basedOn w:val="1"/>
    <w:qFormat/>
    <w:uiPriority w:val="3"/>
    <w:pPr>
      <w:pBdr>
        <w:left w:val="single" w:color="auto" w:sz="4" w:space="0"/>
        <w:right w:val="single" w:color="auto" w:sz="4" w:space="0"/>
      </w:pBdr>
      <w:spacing w:before="100" w:beforeAutospacing="1" w:after="100" w:afterAutospacing="1"/>
      <w:jc w:val="center"/>
      <w:textAlignment w:val="center"/>
    </w:pPr>
    <w:rPr>
      <w:rFonts w:cs="Times New Roman"/>
      <w:b/>
      <w:bCs/>
      <w:sz w:val="20"/>
      <w:szCs w:val="20"/>
    </w:rPr>
  </w:style>
  <w:style w:type="paragraph" w:customStyle="1" w:styleId="115">
    <w:name w:val="xl106"/>
    <w:basedOn w:val="1"/>
    <w:qFormat/>
    <w:uiPriority w:val="3"/>
    <w:pPr>
      <w:pBdr>
        <w:left w:val="single" w:color="auto" w:sz="4" w:space="0"/>
        <w:bottom w:val="single" w:color="auto" w:sz="4" w:space="0"/>
        <w:right w:val="single" w:color="auto" w:sz="8" w:space="0"/>
      </w:pBdr>
      <w:shd w:val="clear" w:color="000000" w:fill="FFFFFF"/>
      <w:spacing w:before="100" w:beforeAutospacing="1" w:after="100" w:afterAutospacing="1"/>
      <w:jc w:val="center"/>
    </w:pPr>
    <w:rPr>
      <w:b/>
      <w:bCs/>
      <w:sz w:val="20"/>
      <w:szCs w:val="20"/>
    </w:rPr>
  </w:style>
  <w:style w:type="paragraph" w:customStyle="1" w:styleId="116">
    <w:name w:val="xl38"/>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cs="Times New Roman"/>
      <w:b/>
      <w:bCs/>
      <w:sz w:val="20"/>
      <w:szCs w:val="20"/>
    </w:rPr>
  </w:style>
  <w:style w:type="paragraph" w:customStyle="1" w:styleId="117">
    <w:name w:val="xl25"/>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cs="Times New Roman"/>
      <w:b/>
      <w:bCs/>
      <w:i/>
      <w:iCs/>
      <w:sz w:val="20"/>
      <w:szCs w:val="20"/>
    </w:rPr>
  </w:style>
  <w:style w:type="paragraph" w:customStyle="1" w:styleId="118">
    <w:name w:val="xl77"/>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119">
    <w:name w:val="xl100"/>
    <w:basedOn w:val="1"/>
    <w:qFormat/>
    <w:uiPriority w:val="3"/>
    <w:pPr>
      <w:pBdr>
        <w:top w:val="single" w:color="auto" w:sz="4" w:space="0"/>
        <w:left w:val="single" w:color="auto" w:sz="4" w:space="0"/>
        <w:bottom w:val="single" w:color="auto" w:sz="4" w:space="0"/>
        <w:right w:val="single" w:color="auto" w:sz="8" w:space="0"/>
      </w:pBdr>
      <w:spacing w:before="100" w:beforeAutospacing="1" w:after="100" w:afterAutospacing="1"/>
      <w:jc w:val="center"/>
    </w:pPr>
    <w:rPr>
      <w:color w:val="000000"/>
      <w:sz w:val="20"/>
      <w:szCs w:val="20"/>
    </w:rPr>
  </w:style>
  <w:style w:type="paragraph" w:customStyle="1" w:styleId="120">
    <w:name w:val="xl93"/>
    <w:basedOn w:val="1"/>
    <w:qFormat/>
    <w:uiPriority w:val="3"/>
    <w:pPr>
      <w:pBdr>
        <w:top w:val="single" w:color="auto" w:sz="4" w:space="0"/>
        <w:left w:val="single" w:color="auto" w:sz="4" w:space="0"/>
        <w:bottom w:val="single" w:color="auto" w:sz="4" w:space="0"/>
        <w:right w:val="single" w:color="auto" w:sz="8" w:space="0"/>
      </w:pBdr>
      <w:spacing w:before="100" w:beforeAutospacing="1" w:after="100" w:afterAutospacing="1"/>
      <w:jc w:val="center"/>
    </w:pPr>
    <w:rPr>
      <w:sz w:val="20"/>
      <w:szCs w:val="20"/>
    </w:rPr>
  </w:style>
  <w:style w:type="paragraph" w:customStyle="1" w:styleId="121">
    <w:name w:val="xl40"/>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cs="Times New Roman"/>
      <w:b/>
      <w:bCs/>
      <w:sz w:val="20"/>
      <w:szCs w:val="20"/>
    </w:rPr>
  </w:style>
  <w:style w:type="paragraph" w:styleId="122">
    <w:name w:val="No Spacing"/>
    <w:qFormat/>
    <w:uiPriority w:val="0"/>
    <w:rPr>
      <w:rFonts w:ascii="Calibri" w:hAnsi="Calibri" w:eastAsia="宋体" w:cs="Times New Roman"/>
      <w:sz w:val="22"/>
      <w:szCs w:val="22"/>
      <w:lang w:val="en-US" w:eastAsia="zh-CN" w:bidi="ar-SA"/>
    </w:rPr>
  </w:style>
  <w:style w:type="paragraph" w:customStyle="1" w:styleId="123">
    <w:name w:val="xl81"/>
    <w:basedOn w:val="1"/>
    <w:qFormat/>
    <w:uiPriority w:val="3"/>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124">
    <w:name w:val="xl27"/>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Times New Roman"/>
      <w:b/>
      <w:bCs/>
      <w:i/>
      <w:iCs/>
      <w:sz w:val="20"/>
      <w:szCs w:val="20"/>
    </w:rPr>
  </w:style>
  <w:style w:type="paragraph" w:customStyle="1" w:styleId="125">
    <w:name w:val="列出段落1"/>
    <w:basedOn w:val="1"/>
    <w:qFormat/>
    <w:uiPriority w:val="7"/>
    <w:pPr>
      <w:widowControl w:val="0"/>
      <w:ind w:firstLine="420" w:firstLineChars="200"/>
      <w:jc w:val="both"/>
    </w:pPr>
    <w:rPr>
      <w:rFonts w:ascii="Times New Roman" w:hAnsi="Times New Roman" w:cs="Times New Roman"/>
      <w:kern w:val="2"/>
      <w:sz w:val="21"/>
      <w:szCs w:val="20"/>
    </w:rPr>
  </w:style>
  <w:style w:type="paragraph" w:customStyle="1" w:styleId="126">
    <w:name w:val="xl122"/>
    <w:basedOn w:val="1"/>
    <w:qFormat/>
    <w:uiPriority w:val="3"/>
    <w:pPr>
      <w:pBdr>
        <w:top w:val="single" w:color="auto" w:sz="8" w:space="0"/>
        <w:bottom w:val="single" w:color="auto" w:sz="8" w:space="0"/>
        <w:right w:val="single" w:color="auto" w:sz="8" w:space="0"/>
      </w:pBdr>
      <w:shd w:val="clear" w:color="000000" w:fill="FFFFFF"/>
      <w:spacing w:before="100" w:beforeAutospacing="1" w:after="100" w:afterAutospacing="1"/>
      <w:jc w:val="center"/>
    </w:pPr>
    <w:rPr>
      <w:b/>
      <w:bCs/>
    </w:rPr>
  </w:style>
  <w:style w:type="paragraph" w:customStyle="1" w:styleId="127">
    <w:name w:val="xl26"/>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128">
    <w:name w:val="批注框文本11"/>
    <w:basedOn w:val="1"/>
    <w:qFormat/>
    <w:uiPriority w:val="0"/>
    <w:pPr>
      <w:widowControl w:val="0"/>
      <w:jc w:val="both"/>
    </w:pPr>
    <w:rPr>
      <w:rFonts w:ascii="Verdana" w:hAnsi="Verdana" w:eastAsia="Times New Roman" w:cs="Times New Roman"/>
      <w:kern w:val="2"/>
      <w:sz w:val="18"/>
      <w:szCs w:val="18"/>
      <w:lang w:eastAsia="en-US"/>
    </w:rPr>
  </w:style>
  <w:style w:type="paragraph" w:customStyle="1" w:styleId="129">
    <w:name w:val="xl69"/>
    <w:basedOn w:val="1"/>
    <w:qFormat/>
    <w:uiPriority w:val="3"/>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sz w:val="20"/>
      <w:szCs w:val="20"/>
    </w:rPr>
  </w:style>
  <w:style w:type="paragraph" w:customStyle="1" w:styleId="130">
    <w:name w:val="xl129"/>
    <w:basedOn w:val="1"/>
    <w:qFormat/>
    <w:uiPriority w:val="3"/>
    <w:pPr>
      <w:pBdr>
        <w:top w:val="single" w:color="auto" w:sz="8"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31">
    <w:name w:val="font7"/>
    <w:basedOn w:val="1"/>
    <w:qFormat/>
    <w:uiPriority w:val="6"/>
    <w:pPr>
      <w:spacing w:before="100" w:beforeAutospacing="1" w:after="100" w:afterAutospacing="1"/>
    </w:pPr>
    <w:rPr>
      <w:rFonts w:ascii="Calibri" w:hAnsi="Calibri" w:cs="Times New Roman"/>
      <w:b/>
      <w:bCs/>
      <w:i/>
      <w:iCs/>
      <w:sz w:val="20"/>
      <w:szCs w:val="20"/>
    </w:rPr>
  </w:style>
  <w:style w:type="paragraph" w:customStyle="1" w:styleId="132">
    <w:name w:val="xl108"/>
    <w:basedOn w:val="1"/>
    <w:qFormat/>
    <w:uiPriority w:val="3"/>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pPr>
    <w:rPr>
      <w:sz w:val="20"/>
      <w:szCs w:val="20"/>
    </w:rPr>
  </w:style>
  <w:style w:type="paragraph" w:customStyle="1" w:styleId="133">
    <w:name w:val="xl135"/>
    <w:basedOn w:val="1"/>
    <w:qFormat/>
    <w:uiPriority w:val="3"/>
    <w:pPr>
      <w:pBdr>
        <w:top w:val="single" w:color="auto" w:sz="4" w:space="0"/>
        <w:bottom w:val="single" w:color="auto" w:sz="4" w:space="0"/>
      </w:pBdr>
      <w:shd w:val="clear" w:color="000000" w:fill="FFFFFF"/>
      <w:spacing w:before="100" w:beforeAutospacing="1" w:after="100" w:afterAutospacing="1"/>
    </w:pPr>
    <w:rPr>
      <w:b/>
      <w:bCs/>
      <w:sz w:val="20"/>
      <w:szCs w:val="20"/>
    </w:rPr>
  </w:style>
  <w:style w:type="paragraph" w:customStyle="1" w:styleId="134">
    <w:name w:val="xl132"/>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b/>
      <w:bCs/>
      <w:sz w:val="20"/>
      <w:szCs w:val="20"/>
    </w:rPr>
  </w:style>
  <w:style w:type="paragraph" w:customStyle="1" w:styleId="135">
    <w:name w:val="font20"/>
    <w:basedOn w:val="1"/>
    <w:qFormat/>
    <w:uiPriority w:val="6"/>
    <w:pPr>
      <w:spacing w:before="100" w:beforeAutospacing="1" w:after="100" w:afterAutospacing="1"/>
    </w:pPr>
    <w:rPr>
      <w:color w:val="000000"/>
      <w:sz w:val="20"/>
      <w:szCs w:val="20"/>
    </w:rPr>
  </w:style>
  <w:style w:type="paragraph" w:customStyle="1" w:styleId="136">
    <w:name w:val="xl137"/>
    <w:basedOn w:val="1"/>
    <w:qFormat/>
    <w:uiPriority w:val="3"/>
    <w:pPr>
      <w:pBdr>
        <w:top w:val="single" w:color="auto" w:sz="8" w:space="0"/>
        <w:left w:val="single" w:color="auto" w:sz="8" w:space="0"/>
        <w:bottom w:val="single" w:color="auto" w:sz="8" w:space="0"/>
        <w:right w:val="single" w:color="auto" w:sz="4" w:space="0"/>
      </w:pBdr>
      <w:spacing w:before="100" w:beforeAutospacing="1" w:after="100" w:afterAutospacing="1"/>
      <w:jc w:val="center"/>
    </w:pPr>
    <w:rPr>
      <w:b/>
      <w:bCs/>
    </w:rPr>
  </w:style>
  <w:style w:type="paragraph" w:customStyle="1" w:styleId="137">
    <w:name w:val="xl120"/>
    <w:basedOn w:val="1"/>
    <w:qFormat/>
    <w:uiPriority w:val="3"/>
    <w:pPr>
      <w:pBdr>
        <w:top w:val="single" w:color="auto" w:sz="8" w:space="0"/>
        <w:left w:val="single" w:color="auto" w:sz="8" w:space="0"/>
        <w:bottom w:val="single" w:color="auto" w:sz="8" w:space="0"/>
      </w:pBdr>
      <w:shd w:val="clear" w:color="000000" w:fill="FFFFFF"/>
      <w:spacing w:before="100" w:beforeAutospacing="1" w:after="100" w:afterAutospacing="1"/>
      <w:jc w:val="center"/>
    </w:pPr>
    <w:rPr>
      <w:b/>
      <w:bCs/>
    </w:rPr>
  </w:style>
  <w:style w:type="paragraph" w:customStyle="1" w:styleId="138">
    <w:name w:val="xl43"/>
    <w:basedOn w:val="1"/>
    <w:qFormat/>
    <w:uiPriority w:val="3"/>
    <w:pPr>
      <w:pBdr>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b/>
      <w:bCs/>
      <w:sz w:val="20"/>
      <w:szCs w:val="20"/>
    </w:rPr>
  </w:style>
  <w:style w:type="paragraph" w:customStyle="1" w:styleId="139">
    <w:name w:val="xl98"/>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18"/>
      <w:szCs w:val="18"/>
    </w:rPr>
  </w:style>
  <w:style w:type="paragraph" w:customStyle="1" w:styleId="140">
    <w:name w:val="xl95"/>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141">
    <w:name w:val="Char Char Char"/>
    <w:basedOn w:val="1"/>
    <w:qFormat/>
    <w:uiPriority w:val="6"/>
    <w:pPr>
      <w:spacing w:after="160" w:line="240" w:lineRule="exact"/>
    </w:pPr>
    <w:rPr>
      <w:rFonts w:ascii="Verdana" w:hAnsi="Verdana" w:eastAsia="Times New Roman" w:cs="Times New Roman"/>
      <w:kern w:val="2"/>
      <w:sz w:val="20"/>
      <w:szCs w:val="20"/>
      <w:lang w:eastAsia="en-US"/>
    </w:rPr>
  </w:style>
  <w:style w:type="paragraph" w:customStyle="1" w:styleId="142">
    <w:name w:val="xl68"/>
    <w:basedOn w:val="1"/>
    <w:qFormat/>
    <w:uiPriority w:val="3"/>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143">
    <w:name w:val="xl30"/>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s="Times New Roman"/>
      <w:b/>
      <w:bCs/>
      <w:sz w:val="20"/>
      <w:szCs w:val="20"/>
    </w:rPr>
  </w:style>
  <w:style w:type="paragraph" w:customStyle="1" w:styleId="144">
    <w:name w:val="xl87"/>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b/>
      <w:bCs/>
      <w:sz w:val="18"/>
      <w:szCs w:val="18"/>
    </w:rPr>
  </w:style>
  <w:style w:type="paragraph" w:customStyle="1" w:styleId="145">
    <w:name w:val="普通文字"/>
    <w:basedOn w:val="1"/>
    <w:next w:val="1"/>
    <w:qFormat/>
    <w:uiPriority w:val="0"/>
    <w:pPr>
      <w:widowControl w:val="0"/>
      <w:jc w:val="both"/>
    </w:pPr>
    <w:rPr>
      <w:rFonts w:hAnsi="Calibri" w:cs="Times New Roman"/>
      <w:szCs w:val="20"/>
      <w:u w:color="000000"/>
    </w:rPr>
  </w:style>
  <w:style w:type="paragraph" w:customStyle="1" w:styleId="146">
    <w:name w:val="xl115"/>
    <w:basedOn w:val="1"/>
    <w:qFormat/>
    <w:uiPriority w:val="3"/>
    <w:pPr>
      <w:pBdr>
        <w:top w:val="single" w:color="auto" w:sz="4" w:space="0"/>
        <w:left w:val="single" w:color="auto" w:sz="4" w:space="0"/>
        <w:bottom w:val="single" w:color="auto" w:sz="4" w:space="0"/>
        <w:right w:val="single" w:color="auto" w:sz="8" w:space="0"/>
      </w:pBdr>
      <w:spacing w:before="100" w:beforeAutospacing="1" w:after="100" w:afterAutospacing="1"/>
    </w:pPr>
    <w:rPr>
      <w:b/>
      <w:bCs/>
      <w:sz w:val="18"/>
      <w:szCs w:val="18"/>
    </w:rPr>
  </w:style>
  <w:style w:type="paragraph" w:customStyle="1" w:styleId="147">
    <w:name w:val="font30"/>
    <w:basedOn w:val="1"/>
    <w:qFormat/>
    <w:uiPriority w:val="6"/>
    <w:pPr>
      <w:spacing w:before="100" w:beforeAutospacing="1" w:after="100" w:afterAutospacing="1"/>
    </w:pPr>
    <w:rPr>
      <w:sz w:val="20"/>
      <w:szCs w:val="20"/>
    </w:rPr>
  </w:style>
  <w:style w:type="paragraph" w:customStyle="1" w:styleId="148">
    <w:name w:val="font25"/>
    <w:basedOn w:val="1"/>
    <w:qFormat/>
    <w:uiPriority w:val="6"/>
    <w:pPr>
      <w:spacing w:before="100" w:beforeAutospacing="1" w:after="100" w:afterAutospacing="1"/>
    </w:pPr>
    <w:rPr>
      <w:sz w:val="20"/>
      <w:szCs w:val="20"/>
    </w:rPr>
  </w:style>
  <w:style w:type="paragraph" w:customStyle="1" w:styleId="149">
    <w:name w:val="xl111"/>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150">
    <w:name w:val="xl39"/>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cs="Times New Roman"/>
    </w:rPr>
  </w:style>
  <w:style w:type="paragraph" w:customStyle="1" w:styleId="151">
    <w:name w:val="font5"/>
    <w:basedOn w:val="1"/>
    <w:qFormat/>
    <w:uiPriority w:val="6"/>
    <w:pPr>
      <w:spacing w:before="100" w:beforeAutospacing="1" w:after="100" w:afterAutospacing="1"/>
    </w:pPr>
    <w:rPr>
      <w:rFonts w:hint="eastAsia" w:cs="Times New Roman"/>
      <w:sz w:val="18"/>
      <w:szCs w:val="18"/>
    </w:rPr>
  </w:style>
  <w:style w:type="paragraph" w:customStyle="1" w:styleId="152">
    <w:name w:val="xl126"/>
    <w:basedOn w:val="1"/>
    <w:qFormat/>
    <w:uiPriority w:val="3"/>
    <w:pPr>
      <w:pBdr>
        <w:top w:val="single" w:color="auto" w:sz="4" w:space="0"/>
        <w:bottom w:val="single" w:color="auto" w:sz="4" w:space="0"/>
      </w:pBdr>
      <w:shd w:val="clear" w:color="000000" w:fill="FFFFFF"/>
      <w:spacing w:before="100" w:beforeAutospacing="1" w:after="100" w:afterAutospacing="1"/>
    </w:pPr>
    <w:rPr>
      <w:b/>
      <w:bCs/>
      <w:sz w:val="20"/>
      <w:szCs w:val="20"/>
    </w:rPr>
  </w:style>
  <w:style w:type="paragraph" w:customStyle="1" w:styleId="153">
    <w:name w:val="xl112"/>
    <w:basedOn w:val="1"/>
    <w:qFormat/>
    <w:uiPriority w:val="3"/>
    <w:pPr>
      <w:pBdr>
        <w:top w:val="single" w:color="auto" w:sz="4" w:space="0"/>
        <w:left w:val="single" w:color="auto" w:sz="4" w:space="0"/>
        <w:bottom w:val="single" w:color="auto" w:sz="4" w:space="0"/>
        <w:right w:val="single" w:color="auto" w:sz="8" w:space="0"/>
      </w:pBdr>
      <w:spacing w:before="100" w:beforeAutospacing="1" w:after="100" w:afterAutospacing="1"/>
      <w:jc w:val="center"/>
    </w:pPr>
    <w:rPr>
      <w:sz w:val="18"/>
      <w:szCs w:val="18"/>
    </w:rPr>
  </w:style>
  <w:style w:type="paragraph" w:customStyle="1" w:styleId="154">
    <w:name w:val="xl53"/>
    <w:basedOn w:val="1"/>
    <w:qFormat/>
    <w:uiPriority w:val="3"/>
    <w:pPr>
      <w:pBdr>
        <w:top w:val="single" w:color="auto" w:sz="4" w:space="0"/>
        <w:bottom w:val="single" w:color="auto" w:sz="4" w:space="0"/>
        <w:right w:val="single" w:color="auto" w:sz="4" w:space="0"/>
      </w:pBdr>
      <w:shd w:val="clear" w:color="auto" w:fill="969696"/>
      <w:spacing w:before="100" w:beforeAutospacing="1" w:after="100" w:afterAutospacing="1"/>
      <w:jc w:val="center"/>
    </w:pPr>
    <w:rPr>
      <w:rFonts w:ascii="Calibri" w:hAnsi="Calibri" w:cs="Times New Roman"/>
      <w:b/>
      <w:bCs/>
      <w:i/>
      <w:iCs/>
      <w:sz w:val="20"/>
      <w:szCs w:val="20"/>
    </w:rPr>
  </w:style>
  <w:style w:type="paragraph" w:customStyle="1" w:styleId="155">
    <w:name w:val="xl123"/>
    <w:basedOn w:val="1"/>
    <w:qFormat/>
    <w:uiPriority w:val="3"/>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pPr>
    <w:rPr>
      <w:b/>
      <w:bCs/>
      <w:sz w:val="20"/>
      <w:szCs w:val="20"/>
    </w:rPr>
  </w:style>
  <w:style w:type="paragraph" w:customStyle="1" w:styleId="156">
    <w:name w:val="font17"/>
    <w:basedOn w:val="1"/>
    <w:qFormat/>
    <w:uiPriority w:val="6"/>
    <w:pPr>
      <w:spacing w:before="100" w:beforeAutospacing="1" w:after="100" w:afterAutospacing="1"/>
    </w:pPr>
    <w:rPr>
      <w:sz w:val="20"/>
      <w:szCs w:val="20"/>
    </w:rPr>
  </w:style>
  <w:style w:type="paragraph" w:customStyle="1" w:styleId="157">
    <w:name w:val="xl102"/>
    <w:basedOn w:val="1"/>
    <w:qFormat/>
    <w:uiPriority w:val="3"/>
    <w:pPr>
      <w:pBdr>
        <w:top w:val="single" w:color="auto" w:sz="4" w:space="0"/>
        <w:left w:val="single" w:color="auto" w:sz="4" w:space="0"/>
        <w:bottom w:val="single" w:color="auto" w:sz="4" w:space="0"/>
        <w:right w:val="single" w:color="auto" w:sz="8" w:space="0"/>
      </w:pBdr>
      <w:spacing w:before="100" w:beforeAutospacing="1" w:after="100" w:afterAutospacing="1"/>
      <w:jc w:val="center"/>
    </w:pPr>
    <w:rPr>
      <w:sz w:val="20"/>
      <w:szCs w:val="20"/>
    </w:rPr>
  </w:style>
  <w:style w:type="paragraph" w:customStyle="1" w:styleId="158">
    <w:name w:val="xl131"/>
    <w:basedOn w:val="1"/>
    <w:qFormat/>
    <w:uiPriority w:val="3"/>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b/>
      <w:bCs/>
      <w:sz w:val="20"/>
      <w:szCs w:val="20"/>
    </w:rPr>
  </w:style>
  <w:style w:type="paragraph" w:customStyle="1" w:styleId="159">
    <w:name w:val="xl136"/>
    <w:basedOn w:val="1"/>
    <w:qFormat/>
    <w:uiPriority w:val="3"/>
    <w:pPr>
      <w:pBdr>
        <w:top w:val="single" w:color="auto" w:sz="4" w:space="0"/>
        <w:bottom w:val="single" w:color="auto" w:sz="4" w:space="0"/>
        <w:right w:val="single" w:color="auto" w:sz="8" w:space="0"/>
      </w:pBdr>
      <w:shd w:val="clear" w:color="000000" w:fill="FFFFFF"/>
      <w:spacing w:before="100" w:beforeAutospacing="1" w:after="100" w:afterAutospacing="1"/>
    </w:pPr>
    <w:rPr>
      <w:b/>
      <w:bCs/>
      <w:sz w:val="20"/>
      <w:szCs w:val="20"/>
    </w:rPr>
  </w:style>
  <w:style w:type="paragraph" w:customStyle="1" w:styleId="160">
    <w:name w:val="纯文本2"/>
    <w:basedOn w:val="1"/>
    <w:qFormat/>
    <w:uiPriority w:val="6"/>
    <w:pPr>
      <w:widowControl w:val="0"/>
      <w:adjustRightInd w:val="0"/>
      <w:jc w:val="both"/>
      <w:textAlignment w:val="baseline"/>
    </w:pPr>
    <w:rPr>
      <w:rFonts w:hAnsi="Courier New" w:eastAsia="方正楷体_GB2312" w:cs="Times New Roman"/>
      <w:kern w:val="2"/>
      <w:sz w:val="26"/>
      <w:szCs w:val="20"/>
    </w:rPr>
  </w:style>
  <w:style w:type="paragraph" w:customStyle="1" w:styleId="161">
    <w:name w:val="xl125"/>
    <w:basedOn w:val="1"/>
    <w:qFormat/>
    <w:uiPriority w:val="3"/>
    <w:pPr>
      <w:pBdr>
        <w:top w:val="single" w:color="auto" w:sz="4" w:space="0"/>
        <w:left w:val="single" w:color="auto" w:sz="8" w:space="0"/>
        <w:bottom w:val="single" w:color="auto" w:sz="4" w:space="0"/>
      </w:pBdr>
      <w:shd w:val="clear" w:color="000000" w:fill="FFFFFF"/>
      <w:spacing w:before="100" w:beforeAutospacing="1" w:after="100" w:afterAutospacing="1"/>
    </w:pPr>
    <w:rPr>
      <w:b/>
      <w:bCs/>
      <w:sz w:val="20"/>
      <w:szCs w:val="20"/>
    </w:rPr>
  </w:style>
  <w:style w:type="paragraph" w:customStyle="1" w:styleId="162">
    <w:name w:val="xl97"/>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63">
    <w:name w:val="font32"/>
    <w:basedOn w:val="1"/>
    <w:qFormat/>
    <w:uiPriority w:val="6"/>
    <w:pPr>
      <w:spacing w:before="100" w:beforeAutospacing="1" w:after="100" w:afterAutospacing="1"/>
    </w:pPr>
    <w:rPr>
      <w:color w:val="000000"/>
      <w:sz w:val="20"/>
      <w:szCs w:val="20"/>
    </w:rPr>
  </w:style>
  <w:style w:type="paragraph" w:customStyle="1" w:styleId="164">
    <w:name w:val="font11"/>
    <w:basedOn w:val="1"/>
    <w:qFormat/>
    <w:uiPriority w:val="6"/>
    <w:pPr>
      <w:spacing w:before="100" w:beforeAutospacing="1" w:after="100" w:afterAutospacing="1"/>
    </w:pPr>
    <w:rPr>
      <w:rFonts w:ascii="Calibri" w:hAnsi="Calibri" w:cs="Times New Roman"/>
      <w:b/>
      <w:bCs/>
      <w:sz w:val="18"/>
      <w:szCs w:val="18"/>
    </w:rPr>
  </w:style>
  <w:style w:type="paragraph" w:customStyle="1" w:styleId="165">
    <w:name w:val="font28"/>
    <w:basedOn w:val="1"/>
    <w:qFormat/>
    <w:uiPriority w:val="6"/>
    <w:pPr>
      <w:spacing w:before="100" w:beforeAutospacing="1" w:after="100" w:afterAutospacing="1"/>
    </w:pPr>
    <w:rPr>
      <w:color w:val="000000"/>
      <w:sz w:val="20"/>
      <w:szCs w:val="20"/>
    </w:rPr>
  </w:style>
  <w:style w:type="paragraph" w:customStyle="1" w:styleId="166">
    <w:name w:val="xl37"/>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cs="Times New Roman"/>
      <w:b/>
      <w:bCs/>
      <w:i/>
      <w:iCs/>
      <w:sz w:val="20"/>
      <w:szCs w:val="20"/>
    </w:rPr>
  </w:style>
  <w:style w:type="paragraph" w:customStyle="1" w:styleId="167">
    <w:name w:val="xl117"/>
    <w:basedOn w:val="1"/>
    <w:qFormat/>
    <w:uiPriority w:val="3"/>
    <w:pPr>
      <w:pBdr>
        <w:top w:val="single" w:color="auto" w:sz="4" w:space="0"/>
        <w:left w:val="single" w:color="auto" w:sz="4" w:space="0"/>
        <w:bottom w:val="single" w:color="auto" w:sz="8" w:space="0"/>
        <w:right w:val="single" w:color="auto" w:sz="4" w:space="0"/>
      </w:pBdr>
      <w:spacing w:before="100" w:beforeAutospacing="1" w:after="100" w:afterAutospacing="1"/>
    </w:pPr>
  </w:style>
  <w:style w:type="paragraph" w:customStyle="1" w:styleId="168">
    <w:name w:val="xl116"/>
    <w:basedOn w:val="1"/>
    <w:qFormat/>
    <w:uiPriority w:val="3"/>
    <w:pPr>
      <w:pBdr>
        <w:top w:val="single" w:color="auto" w:sz="4" w:space="0"/>
        <w:left w:val="single" w:color="auto" w:sz="4" w:space="0"/>
        <w:bottom w:val="single" w:color="auto" w:sz="8" w:space="0"/>
        <w:right w:val="single" w:color="auto" w:sz="4" w:space="0"/>
      </w:pBdr>
      <w:spacing w:before="100" w:beforeAutospacing="1" w:after="100" w:afterAutospacing="1"/>
    </w:pPr>
    <w:rPr>
      <w:sz w:val="18"/>
      <w:szCs w:val="18"/>
    </w:rPr>
  </w:style>
  <w:style w:type="paragraph" w:customStyle="1" w:styleId="169">
    <w:name w:val="font33"/>
    <w:basedOn w:val="1"/>
    <w:qFormat/>
    <w:uiPriority w:val="6"/>
    <w:pPr>
      <w:spacing w:before="100" w:beforeAutospacing="1" w:after="100" w:afterAutospacing="1"/>
    </w:pPr>
    <w:rPr>
      <w:color w:val="000000"/>
      <w:sz w:val="20"/>
      <w:szCs w:val="20"/>
    </w:rPr>
  </w:style>
  <w:style w:type="paragraph" w:customStyle="1" w:styleId="170">
    <w:name w:val="xl44"/>
    <w:basedOn w:val="1"/>
    <w:qFormat/>
    <w:uiPriority w:val="3"/>
    <w:pPr>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b/>
      <w:bCs/>
      <w:sz w:val="20"/>
      <w:szCs w:val="20"/>
    </w:rPr>
  </w:style>
  <w:style w:type="paragraph" w:customStyle="1" w:styleId="171">
    <w:name w:val="xl58"/>
    <w:basedOn w:val="1"/>
    <w:qFormat/>
    <w:uiPriority w:val="3"/>
    <w:pPr>
      <w:pBdr>
        <w:left w:val="single" w:color="auto" w:sz="4" w:space="0"/>
        <w:right w:val="single" w:color="auto" w:sz="4" w:space="0"/>
      </w:pBdr>
      <w:spacing w:before="100" w:beforeAutospacing="1" w:after="100" w:afterAutospacing="1"/>
      <w:jc w:val="center"/>
      <w:textAlignment w:val="center"/>
    </w:pPr>
    <w:rPr>
      <w:rFonts w:ascii="Calibri" w:hAnsi="Calibri" w:cs="Times New Roman"/>
      <w:b/>
      <w:bCs/>
      <w:i/>
      <w:iCs/>
      <w:sz w:val="20"/>
      <w:szCs w:val="20"/>
    </w:rPr>
  </w:style>
  <w:style w:type="paragraph" w:customStyle="1" w:styleId="172">
    <w:name w:val="xl42"/>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Times New Roman"/>
      <w:b/>
      <w:bCs/>
      <w:sz w:val="20"/>
      <w:szCs w:val="20"/>
    </w:rPr>
  </w:style>
  <w:style w:type="paragraph" w:customStyle="1" w:styleId="173">
    <w:name w:val="xl78"/>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sz w:val="22"/>
      <w:szCs w:val="22"/>
    </w:rPr>
  </w:style>
  <w:style w:type="paragraph" w:customStyle="1" w:styleId="174">
    <w:name w:val="批注主题11"/>
    <w:basedOn w:val="11"/>
    <w:next w:val="11"/>
    <w:qFormat/>
    <w:uiPriority w:val="0"/>
    <w:rPr>
      <w:b/>
      <w:bCs/>
    </w:rPr>
  </w:style>
  <w:style w:type="paragraph" w:customStyle="1" w:styleId="175">
    <w:name w:val="xl91"/>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20"/>
      <w:szCs w:val="20"/>
    </w:rPr>
  </w:style>
  <w:style w:type="paragraph" w:customStyle="1" w:styleId="176">
    <w:name w:val="xl32"/>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Calibri" w:hAnsi="Calibri" w:cs="Times New Roman"/>
      <w:b/>
      <w:bCs/>
      <w:i/>
      <w:iCs/>
      <w:sz w:val="20"/>
      <w:szCs w:val="20"/>
    </w:rPr>
  </w:style>
  <w:style w:type="paragraph" w:customStyle="1" w:styleId="177">
    <w:name w:val="xl92"/>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178">
    <w:name w:val="默认段落字体 Para Char"/>
    <w:basedOn w:val="1"/>
    <w:qFormat/>
    <w:uiPriority w:val="0"/>
    <w:pPr>
      <w:widowControl w:val="0"/>
      <w:tabs>
        <w:tab w:val="left" w:pos="552"/>
      </w:tabs>
      <w:ind w:left="552" w:hanging="420"/>
      <w:jc w:val="both"/>
    </w:pPr>
    <w:rPr>
      <w:rFonts w:ascii="Calibri" w:hAnsi="Calibri" w:cs="Times New Roman"/>
      <w:kern w:val="2"/>
    </w:rPr>
  </w:style>
  <w:style w:type="paragraph" w:customStyle="1" w:styleId="179">
    <w:name w:val="reader-word-layer"/>
    <w:basedOn w:val="1"/>
    <w:qFormat/>
    <w:uiPriority w:val="0"/>
    <w:pPr>
      <w:spacing w:before="100" w:beforeAutospacing="1" w:after="100" w:afterAutospacing="1"/>
    </w:pPr>
    <w:rPr>
      <w:szCs w:val="20"/>
    </w:rPr>
  </w:style>
  <w:style w:type="paragraph" w:customStyle="1" w:styleId="180">
    <w:name w:val="xl24"/>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Times New Roman"/>
      <w:b/>
      <w:bCs/>
      <w:sz w:val="20"/>
      <w:szCs w:val="20"/>
    </w:rPr>
  </w:style>
  <w:style w:type="paragraph" w:customStyle="1" w:styleId="181">
    <w:name w:val="表格"/>
    <w:basedOn w:val="1"/>
    <w:qFormat/>
    <w:uiPriority w:val="0"/>
    <w:pPr>
      <w:widowControl w:val="0"/>
      <w:snapToGrid w:val="0"/>
      <w:ind w:firstLine="42" w:firstLineChars="21"/>
      <w:jc w:val="both"/>
    </w:pPr>
    <w:rPr>
      <w:rFonts w:eastAsia="Times New Roman" w:cs="Times New Roman"/>
      <w:sz w:val="20"/>
      <w:szCs w:val="20"/>
    </w:rPr>
  </w:style>
  <w:style w:type="paragraph" w:customStyle="1" w:styleId="182">
    <w:name w:val="表身（左）"/>
    <w:qFormat/>
    <w:uiPriority w:val="0"/>
    <w:pPr>
      <w:adjustRightInd w:val="0"/>
      <w:snapToGrid w:val="0"/>
      <w:spacing w:line="300" w:lineRule="auto"/>
      <w:textAlignment w:val="center"/>
    </w:pPr>
    <w:rPr>
      <w:rFonts w:ascii="Calibri" w:hAnsi="Calibri" w:eastAsia="宋体" w:cs="Times New Roman"/>
      <w:sz w:val="16"/>
      <w:szCs w:val="22"/>
      <w:lang w:val="en-US" w:eastAsia="zh-CN" w:bidi="ar-SA"/>
    </w:rPr>
  </w:style>
  <w:style w:type="paragraph" w:customStyle="1" w:styleId="183">
    <w:name w:val="font38"/>
    <w:basedOn w:val="1"/>
    <w:qFormat/>
    <w:uiPriority w:val="6"/>
    <w:pPr>
      <w:spacing w:before="100" w:beforeAutospacing="1" w:after="100" w:afterAutospacing="1"/>
    </w:pPr>
    <w:rPr>
      <w:sz w:val="20"/>
      <w:szCs w:val="20"/>
    </w:rPr>
  </w:style>
  <w:style w:type="paragraph" w:customStyle="1" w:styleId="184">
    <w:name w:val="xl104"/>
    <w:basedOn w:val="1"/>
    <w:qFormat/>
    <w:uiPriority w:val="3"/>
    <w:pPr>
      <w:pBdr>
        <w:left w:val="single" w:color="auto" w:sz="8"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185">
    <w:name w:val="xl85"/>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86">
    <w:name w:val="font22"/>
    <w:basedOn w:val="1"/>
    <w:qFormat/>
    <w:uiPriority w:val="6"/>
    <w:pPr>
      <w:spacing w:before="100" w:beforeAutospacing="1" w:after="100" w:afterAutospacing="1"/>
    </w:pPr>
    <w:rPr>
      <w:color w:val="000000"/>
      <w:sz w:val="20"/>
      <w:szCs w:val="20"/>
    </w:rPr>
  </w:style>
  <w:style w:type="paragraph" w:customStyle="1" w:styleId="187">
    <w:name w:val="批注框文本1"/>
    <w:basedOn w:val="1"/>
    <w:qFormat/>
    <w:uiPriority w:val="0"/>
    <w:pPr>
      <w:widowControl w:val="0"/>
      <w:jc w:val="both"/>
    </w:pPr>
    <w:rPr>
      <w:rFonts w:ascii="Calibri" w:hAnsi="Calibri" w:cs="Times New Roman"/>
      <w:kern w:val="2"/>
      <w:sz w:val="18"/>
      <w:szCs w:val="18"/>
    </w:rPr>
  </w:style>
  <w:style w:type="paragraph" w:customStyle="1" w:styleId="188">
    <w:name w:val="xl63"/>
    <w:basedOn w:val="1"/>
    <w:qFormat/>
    <w:uiPriority w:val="3"/>
    <w:pPr>
      <w:pBdr>
        <w:top w:val="single" w:color="auto" w:sz="4" w:space="0"/>
        <w:left w:val="single" w:color="auto" w:sz="4" w:space="0"/>
        <w:bottom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189">
    <w:name w:val="xl101"/>
    <w:basedOn w:val="1"/>
    <w:qFormat/>
    <w:uiPriority w:val="3"/>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sz w:val="20"/>
      <w:szCs w:val="20"/>
    </w:rPr>
  </w:style>
  <w:style w:type="paragraph" w:customStyle="1" w:styleId="190">
    <w:name w:val="font18"/>
    <w:basedOn w:val="1"/>
    <w:qFormat/>
    <w:uiPriority w:val="6"/>
    <w:pPr>
      <w:spacing w:before="100" w:beforeAutospacing="1" w:after="100" w:afterAutospacing="1"/>
    </w:pPr>
    <w:rPr>
      <w:sz w:val="20"/>
      <w:szCs w:val="20"/>
    </w:rPr>
  </w:style>
  <w:style w:type="paragraph" w:customStyle="1" w:styleId="191">
    <w:name w:val="Char Char1 Char Char Char Char1"/>
    <w:basedOn w:val="10"/>
    <w:qFormat/>
    <w:uiPriority w:val="6"/>
    <w:pPr>
      <w:adjustRightInd w:val="0"/>
      <w:spacing w:line="436" w:lineRule="exact"/>
      <w:ind w:left="357"/>
      <w:jc w:val="left"/>
      <w:outlineLvl w:val="3"/>
    </w:pPr>
    <w:rPr>
      <w:rFonts w:ascii="Tahoma" w:hAnsi="Tahoma"/>
      <w:b/>
      <w:sz w:val="24"/>
      <w:szCs w:val="24"/>
    </w:rPr>
  </w:style>
  <w:style w:type="paragraph" w:customStyle="1" w:styleId="192">
    <w:name w:val="xl82"/>
    <w:basedOn w:val="1"/>
    <w:qFormat/>
    <w:uiPriority w:val="3"/>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193">
    <w:name w:val="xl66"/>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194">
    <w:name w:val="_Style 1"/>
    <w:basedOn w:val="1"/>
    <w:qFormat/>
    <w:uiPriority w:val="34"/>
    <w:pPr>
      <w:widowControl w:val="0"/>
      <w:ind w:firstLine="420" w:firstLineChars="200"/>
      <w:jc w:val="both"/>
    </w:pPr>
    <w:rPr>
      <w:rFonts w:ascii="Calibri" w:hAnsi="Calibri" w:cs="Times New Roman"/>
      <w:kern w:val="2"/>
      <w:sz w:val="21"/>
      <w:szCs w:val="20"/>
    </w:rPr>
  </w:style>
  <w:style w:type="paragraph" w:customStyle="1" w:styleId="195">
    <w:name w:val="批注框文本2"/>
    <w:basedOn w:val="1"/>
    <w:qFormat/>
    <w:uiPriority w:val="0"/>
    <w:pPr>
      <w:widowControl w:val="0"/>
      <w:jc w:val="both"/>
    </w:pPr>
    <w:rPr>
      <w:rFonts w:ascii="Calibri" w:hAnsi="Calibri" w:cs="Times New Roman"/>
      <w:kern w:val="2"/>
      <w:sz w:val="18"/>
      <w:szCs w:val="18"/>
    </w:rPr>
  </w:style>
  <w:style w:type="paragraph" w:customStyle="1" w:styleId="196">
    <w:name w:val="font27"/>
    <w:basedOn w:val="1"/>
    <w:qFormat/>
    <w:uiPriority w:val="6"/>
    <w:pPr>
      <w:spacing w:before="100" w:beforeAutospacing="1" w:after="100" w:afterAutospacing="1"/>
    </w:pPr>
    <w:rPr>
      <w:sz w:val="20"/>
      <w:szCs w:val="20"/>
    </w:rPr>
  </w:style>
  <w:style w:type="paragraph" w:customStyle="1" w:styleId="197">
    <w:name w:val="xl119"/>
    <w:basedOn w:val="1"/>
    <w:qFormat/>
    <w:uiPriority w:val="3"/>
    <w:pPr>
      <w:pBdr>
        <w:top w:val="single" w:color="auto" w:sz="4" w:space="0"/>
        <w:left w:val="single" w:color="auto" w:sz="8" w:space="0"/>
        <w:bottom w:val="single" w:color="auto" w:sz="8" w:space="0"/>
        <w:right w:val="single" w:color="auto" w:sz="4" w:space="0"/>
      </w:pBdr>
      <w:spacing w:before="100" w:beforeAutospacing="1" w:after="100" w:afterAutospacing="1"/>
      <w:jc w:val="center"/>
    </w:pPr>
    <w:rPr>
      <w:sz w:val="20"/>
      <w:szCs w:val="20"/>
    </w:rPr>
  </w:style>
  <w:style w:type="paragraph" w:customStyle="1" w:styleId="198">
    <w:name w:val="列表内容"/>
    <w:basedOn w:val="1"/>
    <w:next w:val="1"/>
    <w:qFormat/>
    <w:uiPriority w:val="0"/>
    <w:pPr>
      <w:numPr>
        <w:ilvl w:val="0"/>
        <w:numId w:val="5"/>
      </w:numPr>
    </w:pPr>
    <w:rPr>
      <w:rFonts w:ascii="Calibri" w:hAnsi="Calibri" w:cs="Times New Roman"/>
      <w:sz w:val="18"/>
    </w:rPr>
  </w:style>
  <w:style w:type="paragraph" w:customStyle="1" w:styleId="199">
    <w:name w:val="xl51"/>
    <w:basedOn w:val="1"/>
    <w:qFormat/>
    <w:uiPriority w:val="3"/>
    <w:pPr>
      <w:pBdr>
        <w:top w:val="single" w:color="auto" w:sz="4" w:space="0"/>
        <w:left w:val="single" w:color="auto" w:sz="4" w:space="0"/>
        <w:bottom w:val="single" w:color="auto" w:sz="4" w:space="0"/>
      </w:pBdr>
      <w:shd w:val="clear" w:color="auto" w:fill="969696"/>
      <w:spacing w:before="100" w:beforeAutospacing="1" w:after="100" w:afterAutospacing="1"/>
      <w:jc w:val="center"/>
    </w:pPr>
    <w:rPr>
      <w:rFonts w:ascii="Calibri" w:hAnsi="Calibri" w:cs="Times New Roman"/>
      <w:b/>
      <w:bCs/>
      <w:i/>
      <w:iCs/>
      <w:sz w:val="20"/>
      <w:szCs w:val="20"/>
    </w:rPr>
  </w:style>
  <w:style w:type="paragraph" w:customStyle="1" w:styleId="200">
    <w:name w:val="xl80"/>
    <w:basedOn w:val="1"/>
    <w:qFormat/>
    <w:uiPriority w:val="3"/>
    <w:pPr>
      <w:spacing w:before="100" w:beforeAutospacing="1" w:after="100" w:afterAutospacing="1"/>
    </w:pPr>
    <w:rPr>
      <w:b/>
      <w:bCs/>
    </w:rPr>
  </w:style>
  <w:style w:type="paragraph" w:customStyle="1" w:styleId="201">
    <w:name w:val="xl73"/>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0"/>
      <w:szCs w:val="20"/>
    </w:rPr>
  </w:style>
  <w:style w:type="paragraph" w:customStyle="1" w:styleId="202">
    <w:name w:val="xl55"/>
    <w:basedOn w:val="1"/>
    <w:qFormat/>
    <w:uiPriority w:val="3"/>
    <w:pPr>
      <w:pBdr>
        <w:top w:val="single" w:color="auto" w:sz="4" w:space="0"/>
        <w:bottom w:val="single" w:color="auto" w:sz="4" w:space="0"/>
      </w:pBdr>
      <w:shd w:val="clear" w:color="auto" w:fill="969696"/>
      <w:spacing w:before="100" w:beforeAutospacing="1" w:after="100" w:afterAutospacing="1"/>
      <w:jc w:val="center"/>
      <w:textAlignment w:val="center"/>
    </w:pPr>
    <w:rPr>
      <w:rFonts w:ascii="Calibri" w:hAnsi="Calibri" w:cs="Times New Roman"/>
      <w:b/>
      <w:bCs/>
      <w:sz w:val="20"/>
      <w:szCs w:val="20"/>
    </w:rPr>
  </w:style>
  <w:style w:type="paragraph" w:customStyle="1" w:styleId="203">
    <w:name w:val="font23"/>
    <w:basedOn w:val="1"/>
    <w:qFormat/>
    <w:uiPriority w:val="6"/>
    <w:pPr>
      <w:spacing w:before="100" w:beforeAutospacing="1" w:after="100" w:afterAutospacing="1"/>
    </w:pPr>
    <w:rPr>
      <w:color w:val="000000"/>
      <w:sz w:val="20"/>
      <w:szCs w:val="20"/>
    </w:rPr>
  </w:style>
  <w:style w:type="paragraph" w:customStyle="1" w:styleId="204">
    <w:name w:val="font9"/>
    <w:basedOn w:val="1"/>
    <w:qFormat/>
    <w:uiPriority w:val="6"/>
    <w:pPr>
      <w:spacing w:before="100" w:beforeAutospacing="1" w:after="100" w:afterAutospacing="1"/>
    </w:pPr>
    <w:rPr>
      <w:rFonts w:ascii="Calibri" w:hAnsi="Calibri" w:cs="Times New Roman"/>
      <w:b/>
      <w:bCs/>
      <w:sz w:val="20"/>
      <w:szCs w:val="20"/>
    </w:rPr>
  </w:style>
  <w:style w:type="paragraph" w:customStyle="1" w:styleId="205">
    <w:name w:val="xl79"/>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206">
    <w:name w:val="样式2"/>
    <w:basedOn w:val="1"/>
    <w:qFormat/>
    <w:uiPriority w:val="3"/>
    <w:pPr>
      <w:widowControl w:val="0"/>
      <w:adjustRightInd w:val="0"/>
      <w:ind w:firstLine="200" w:firstLineChars="200"/>
      <w:jc w:val="both"/>
      <w:textAlignment w:val="baseline"/>
    </w:pPr>
    <w:rPr>
      <w:rFonts w:ascii="Times New Roman" w:hAnsi="Times New Roman" w:cs="Times New Roman"/>
      <w:kern w:val="2"/>
      <w:sz w:val="21"/>
      <w:szCs w:val="20"/>
    </w:rPr>
  </w:style>
  <w:style w:type="paragraph" w:customStyle="1" w:styleId="207">
    <w:name w:val="Body text|2"/>
    <w:basedOn w:val="1"/>
    <w:qFormat/>
    <w:uiPriority w:val="0"/>
    <w:pPr>
      <w:widowControl w:val="0"/>
      <w:spacing w:line="629" w:lineRule="exact"/>
      <w:ind w:firstLine="560"/>
      <w:jc w:val="both"/>
    </w:pPr>
    <w:rPr>
      <w:kern w:val="2"/>
      <w:sz w:val="28"/>
      <w:szCs w:val="28"/>
      <w:lang w:val="zh-TW" w:eastAsia="zh-TW" w:bidi="zh-TW"/>
    </w:rPr>
  </w:style>
  <w:style w:type="paragraph" w:customStyle="1" w:styleId="208">
    <w:name w:val="Plain Text1"/>
    <w:basedOn w:val="1"/>
    <w:qFormat/>
    <w:uiPriority w:val="6"/>
    <w:pPr>
      <w:widowControl w:val="0"/>
      <w:adjustRightInd w:val="0"/>
      <w:jc w:val="both"/>
    </w:pPr>
    <w:rPr>
      <w:rFonts w:hint="eastAsia" w:hAnsi="Courier New" w:eastAsia="方正楷体_GB2312" w:cs="Times New Roman"/>
      <w:kern w:val="2"/>
      <w:sz w:val="28"/>
      <w:szCs w:val="20"/>
    </w:rPr>
  </w:style>
  <w:style w:type="paragraph" w:customStyle="1" w:styleId="209">
    <w:name w:val="xl59"/>
    <w:basedOn w:val="1"/>
    <w:qFormat/>
    <w:uiPriority w:val="3"/>
    <w:pPr>
      <w:pBdr>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Times New Roman"/>
      <w:b/>
      <w:bCs/>
      <w:i/>
      <w:iCs/>
      <w:sz w:val="20"/>
      <w:szCs w:val="20"/>
    </w:rPr>
  </w:style>
  <w:style w:type="paragraph" w:customStyle="1" w:styleId="210">
    <w:name w:val="xl114"/>
    <w:basedOn w:val="1"/>
    <w:qFormat/>
    <w:uiPriority w:val="3"/>
    <w:pPr>
      <w:pBdr>
        <w:top w:val="single" w:color="auto" w:sz="4" w:space="0"/>
        <w:left w:val="single" w:color="auto" w:sz="4" w:space="0"/>
        <w:bottom w:val="single" w:color="auto" w:sz="8" w:space="0"/>
        <w:right w:val="single" w:color="auto" w:sz="8" w:space="0"/>
      </w:pBdr>
      <w:spacing w:before="100" w:beforeAutospacing="1" w:after="100" w:afterAutospacing="1"/>
      <w:jc w:val="center"/>
    </w:pPr>
    <w:rPr>
      <w:sz w:val="18"/>
      <w:szCs w:val="18"/>
    </w:rPr>
  </w:style>
  <w:style w:type="paragraph" w:customStyle="1" w:styleId="211">
    <w:name w:val="font8"/>
    <w:basedOn w:val="1"/>
    <w:qFormat/>
    <w:uiPriority w:val="6"/>
    <w:pPr>
      <w:spacing w:before="100" w:beforeAutospacing="1" w:after="100" w:afterAutospacing="1"/>
    </w:pPr>
    <w:rPr>
      <w:rFonts w:hint="eastAsia" w:cs="Times New Roman"/>
      <w:b/>
      <w:bCs/>
      <w:i/>
      <w:iCs/>
      <w:sz w:val="20"/>
      <w:szCs w:val="20"/>
    </w:rPr>
  </w:style>
  <w:style w:type="paragraph" w:customStyle="1" w:styleId="212">
    <w:name w:val="xl48"/>
    <w:basedOn w:val="1"/>
    <w:qFormat/>
    <w:uiPriority w:val="3"/>
    <w:pPr>
      <w:pBdr>
        <w:top w:val="single" w:color="auto" w:sz="4" w:space="0"/>
        <w:left w:val="single" w:color="auto" w:sz="4" w:space="0"/>
        <w:right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213">
    <w:name w:val="xl49"/>
    <w:basedOn w:val="1"/>
    <w:qFormat/>
    <w:uiPriority w:val="3"/>
    <w:pPr>
      <w:pBdr>
        <w:left w:val="single" w:color="auto" w:sz="4" w:space="0"/>
        <w:right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214">
    <w:name w:val="List Paragraph1"/>
    <w:basedOn w:val="1"/>
    <w:qFormat/>
    <w:uiPriority w:val="7"/>
    <w:pPr>
      <w:widowControl w:val="0"/>
      <w:ind w:firstLine="420" w:firstLineChars="200"/>
      <w:jc w:val="both"/>
    </w:pPr>
    <w:rPr>
      <w:rFonts w:ascii="Calibri" w:hAnsi="Calibri" w:cs="Times New Roman"/>
      <w:kern w:val="2"/>
      <w:sz w:val="21"/>
      <w:szCs w:val="20"/>
    </w:rPr>
  </w:style>
  <w:style w:type="paragraph" w:customStyle="1" w:styleId="215">
    <w:name w:val="xl41"/>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rFonts w:cs="Times New Roman"/>
      <w:b/>
      <w:bCs/>
      <w:sz w:val="20"/>
      <w:szCs w:val="20"/>
    </w:rPr>
  </w:style>
  <w:style w:type="paragraph" w:customStyle="1" w:styleId="216">
    <w:name w:val="xl72"/>
    <w:basedOn w:val="1"/>
    <w:qFormat/>
    <w:uiPriority w:val="3"/>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217">
    <w:name w:val="xl56"/>
    <w:basedOn w:val="1"/>
    <w:qFormat/>
    <w:uiPriority w:val="3"/>
    <w:pPr>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rFonts w:ascii="Calibri" w:hAnsi="Calibri" w:cs="Times New Roman"/>
      <w:b/>
      <w:bCs/>
      <w:sz w:val="20"/>
      <w:szCs w:val="20"/>
    </w:rPr>
  </w:style>
  <w:style w:type="paragraph" w:customStyle="1" w:styleId="218">
    <w:name w:val="font34"/>
    <w:basedOn w:val="1"/>
    <w:qFormat/>
    <w:uiPriority w:val="6"/>
    <w:pPr>
      <w:spacing w:before="100" w:beforeAutospacing="1" w:after="100" w:afterAutospacing="1"/>
    </w:pPr>
    <w:rPr>
      <w:sz w:val="20"/>
      <w:szCs w:val="20"/>
    </w:rPr>
  </w:style>
  <w:style w:type="paragraph" w:customStyle="1" w:styleId="219">
    <w:name w:val="xl94"/>
    <w:basedOn w:val="1"/>
    <w:qFormat/>
    <w:uiPriority w:val="3"/>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b/>
      <w:bCs/>
      <w:sz w:val="20"/>
      <w:szCs w:val="20"/>
    </w:rPr>
  </w:style>
  <w:style w:type="paragraph" w:customStyle="1" w:styleId="220">
    <w:name w:val="xl90"/>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221">
    <w:name w:val="xl113"/>
    <w:basedOn w:val="1"/>
    <w:qFormat/>
    <w:uiPriority w:val="3"/>
    <w:pPr>
      <w:pBdr>
        <w:top w:val="single" w:color="auto" w:sz="4" w:space="0"/>
        <w:left w:val="single" w:color="auto" w:sz="4" w:space="0"/>
        <w:bottom w:val="single" w:color="auto" w:sz="8" w:space="0"/>
        <w:right w:val="single" w:color="auto" w:sz="4" w:space="0"/>
      </w:pBdr>
      <w:spacing w:before="100" w:beforeAutospacing="1" w:after="100" w:afterAutospacing="1"/>
      <w:jc w:val="center"/>
    </w:pPr>
    <w:rPr>
      <w:sz w:val="18"/>
      <w:szCs w:val="18"/>
    </w:rPr>
  </w:style>
  <w:style w:type="paragraph" w:customStyle="1" w:styleId="222">
    <w:name w:val="xl134"/>
    <w:basedOn w:val="1"/>
    <w:qFormat/>
    <w:uiPriority w:val="3"/>
    <w:pPr>
      <w:pBdr>
        <w:top w:val="single" w:color="auto" w:sz="4" w:space="0"/>
        <w:left w:val="single" w:color="auto" w:sz="8" w:space="0"/>
        <w:bottom w:val="single" w:color="auto" w:sz="4" w:space="0"/>
      </w:pBdr>
      <w:shd w:val="clear" w:color="000000" w:fill="FFFFFF"/>
      <w:spacing w:before="100" w:beforeAutospacing="1" w:after="100" w:afterAutospacing="1"/>
    </w:pPr>
    <w:rPr>
      <w:b/>
      <w:bCs/>
      <w:sz w:val="20"/>
      <w:szCs w:val="20"/>
    </w:rPr>
  </w:style>
  <w:style w:type="paragraph" w:customStyle="1" w:styleId="223">
    <w:name w:val="表内容"/>
    <w:basedOn w:val="1"/>
    <w:qFormat/>
    <w:uiPriority w:val="0"/>
    <w:pPr>
      <w:spacing w:line="320" w:lineRule="exact"/>
      <w:jc w:val="both"/>
    </w:pPr>
    <w:rPr>
      <w:rFonts w:ascii="Calibri" w:hAnsi="Calibri" w:cs="Arial"/>
      <w:color w:val="000000"/>
      <w:sz w:val="20"/>
      <w:szCs w:val="20"/>
    </w:rPr>
  </w:style>
  <w:style w:type="paragraph" w:customStyle="1" w:styleId="224">
    <w:name w:val="xl52"/>
    <w:basedOn w:val="1"/>
    <w:qFormat/>
    <w:uiPriority w:val="3"/>
    <w:pPr>
      <w:pBdr>
        <w:top w:val="single" w:color="auto" w:sz="4" w:space="0"/>
        <w:bottom w:val="single" w:color="auto" w:sz="4" w:space="0"/>
      </w:pBdr>
      <w:shd w:val="clear" w:color="auto" w:fill="969696"/>
      <w:spacing w:before="100" w:beforeAutospacing="1" w:after="100" w:afterAutospacing="1"/>
      <w:jc w:val="center"/>
    </w:pPr>
    <w:rPr>
      <w:rFonts w:ascii="Calibri" w:hAnsi="Calibri" w:cs="Times New Roman"/>
      <w:b/>
      <w:bCs/>
      <w:i/>
      <w:iCs/>
      <w:sz w:val="20"/>
      <w:szCs w:val="20"/>
    </w:rPr>
  </w:style>
  <w:style w:type="paragraph" w:customStyle="1" w:styleId="225">
    <w:name w:val="xl50"/>
    <w:basedOn w:val="1"/>
    <w:qFormat/>
    <w:uiPriority w:val="3"/>
    <w:pPr>
      <w:pBdr>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226">
    <w:name w:val="正文 + 行距: 固定值 18 磅"/>
    <w:basedOn w:val="1"/>
    <w:qFormat/>
    <w:uiPriority w:val="2"/>
    <w:pPr>
      <w:widowControl w:val="0"/>
      <w:adjustRightInd w:val="0"/>
      <w:snapToGrid w:val="0"/>
      <w:spacing w:line="360" w:lineRule="exact"/>
      <w:jc w:val="both"/>
    </w:pPr>
    <w:rPr>
      <w:rFonts w:ascii="Calibri" w:hAnsi="Calibri" w:cs="Times New Roman"/>
      <w:kern w:val="2"/>
      <w:sz w:val="21"/>
    </w:rPr>
  </w:style>
  <w:style w:type="paragraph" w:customStyle="1" w:styleId="227">
    <w:name w:val="xl29"/>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Times New Roman"/>
      <w:b/>
      <w:bCs/>
      <w:sz w:val="20"/>
      <w:szCs w:val="20"/>
    </w:rPr>
  </w:style>
  <w:style w:type="paragraph" w:customStyle="1" w:styleId="228">
    <w:name w:val="xl99"/>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0"/>
      <w:szCs w:val="20"/>
    </w:rPr>
  </w:style>
  <w:style w:type="paragraph" w:customStyle="1" w:styleId="229">
    <w:name w:val="xl47"/>
    <w:basedOn w:val="1"/>
    <w:qFormat/>
    <w:uiPriority w:val="3"/>
    <w:pPr>
      <w:pBdr>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rPr>
  </w:style>
  <w:style w:type="paragraph" w:customStyle="1" w:styleId="230">
    <w:name w:val="正文格式"/>
    <w:basedOn w:val="1"/>
    <w:qFormat/>
    <w:uiPriority w:val="0"/>
    <w:pPr>
      <w:widowControl w:val="0"/>
      <w:topLinePunct/>
      <w:ind w:firstLine="420" w:firstLineChars="200"/>
      <w:jc w:val="both"/>
    </w:pPr>
    <w:rPr>
      <w:rFonts w:cs="Times New Roman"/>
      <w:kern w:val="2"/>
      <w:sz w:val="21"/>
      <w:szCs w:val="20"/>
    </w:rPr>
  </w:style>
  <w:style w:type="paragraph" w:customStyle="1" w:styleId="231">
    <w:name w:val="Char Char1 Char Char Char Char"/>
    <w:basedOn w:val="10"/>
    <w:qFormat/>
    <w:uiPriority w:val="6"/>
    <w:pPr>
      <w:adjustRightInd w:val="0"/>
      <w:spacing w:line="436" w:lineRule="exact"/>
      <w:ind w:left="357"/>
      <w:jc w:val="left"/>
      <w:outlineLvl w:val="3"/>
    </w:pPr>
    <w:rPr>
      <w:rFonts w:ascii="Tahoma" w:hAnsi="Tahoma"/>
      <w:b/>
      <w:sz w:val="24"/>
      <w:szCs w:val="24"/>
    </w:rPr>
  </w:style>
  <w:style w:type="paragraph" w:customStyle="1" w:styleId="232">
    <w:name w:val="Char"/>
    <w:basedOn w:val="1"/>
    <w:qFormat/>
    <w:uiPriority w:val="6"/>
    <w:pPr>
      <w:widowControl w:val="0"/>
    </w:pPr>
    <w:rPr>
      <w:rFonts w:ascii="Calibri" w:hAnsi="Calibri" w:cs="Times New Roman"/>
      <w:kern w:val="2"/>
      <w:sz w:val="21"/>
    </w:rPr>
  </w:style>
  <w:style w:type="paragraph" w:customStyle="1" w:styleId="233">
    <w:name w:val="xl86"/>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34">
    <w:name w:val="font36"/>
    <w:basedOn w:val="1"/>
    <w:qFormat/>
    <w:uiPriority w:val="6"/>
    <w:pPr>
      <w:spacing w:before="100" w:beforeAutospacing="1" w:after="100" w:afterAutospacing="1"/>
    </w:pPr>
    <w:rPr>
      <w:color w:val="000000"/>
      <w:sz w:val="20"/>
      <w:szCs w:val="20"/>
    </w:rPr>
  </w:style>
  <w:style w:type="paragraph" w:customStyle="1" w:styleId="235">
    <w:name w:val="font31"/>
    <w:basedOn w:val="1"/>
    <w:qFormat/>
    <w:uiPriority w:val="6"/>
    <w:pPr>
      <w:spacing w:before="100" w:beforeAutospacing="1" w:after="100" w:afterAutospacing="1"/>
    </w:pPr>
    <w:rPr>
      <w:color w:val="000000"/>
      <w:sz w:val="20"/>
      <w:szCs w:val="20"/>
    </w:rPr>
  </w:style>
  <w:style w:type="paragraph" w:customStyle="1" w:styleId="236">
    <w:name w:val="xl127"/>
    <w:basedOn w:val="1"/>
    <w:qFormat/>
    <w:uiPriority w:val="3"/>
    <w:pPr>
      <w:pBdr>
        <w:top w:val="single" w:color="auto" w:sz="4" w:space="0"/>
        <w:bottom w:val="single" w:color="auto" w:sz="4" w:space="0"/>
        <w:right w:val="single" w:color="auto" w:sz="8" w:space="0"/>
      </w:pBdr>
      <w:shd w:val="clear" w:color="000000" w:fill="FFFFFF"/>
      <w:spacing w:before="100" w:beforeAutospacing="1" w:after="100" w:afterAutospacing="1"/>
    </w:pPr>
    <w:rPr>
      <w:b/>
      <w:bCs/>
      <w:sz w:val="20"/>
      <w:szCs w:val="20"/>
    </w:rPr>
  </w:style>
  <w:style w:type="paragraph" w:customStyle="1" w:styleId="237">
    <w:name w:val="font26"/>
    <w:basedOn w:val="1"/>
    <w:qFormat/>
    <w:uiPriority w:val="6"/>
    <w:pPr>
      <w:spacing w:before="100" w:beforeAutospacing="1" w:after="100" w:afterAutospacing="1"/>
    </w:pPr>
    <w:rPr>
      <w:color w:val="000000"/>
      <w:sz w:val="20"/>
      <w:szCs w:val="20"/>
    </w:rPr>
  </w:style>
  <w:style w:type="paragraph" w:customStyle="1" w:styleId="238">
    <w:name w:val="xl36"/>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Times New Roman"/>
      <w:b/>
      <w:bCs/>
      <w:sz w:val="20"/>
      <w:szCs w:val="20"/>
    </w:rPr>
  </w:style>
  <w:style w:type="paragraph" w:customStyle="1" w:styleId="239">
    <w:name w:val="xl89"/>
    <w:basedOn w:val="1"/>
    <w:qFormat/>
    <w:uiPriority w:val="3"/>
    <w:pPr>
      <w:pBdr>
        <w:top w:val="single" w:color="auto" w:sz="4" w:space="0"/>
        <w:left w:val="single" w:color="auto" w:sz="4" w:space="0"/>
        <w:bottom w:val="single" w:color="auto" w:sz="4" w:space="0"/>
        <w:right w:val="single" w:color="auto" w:sz="4" w:space="0"/>
      </w:pBdr>
      <w:spacing w:before="100" w:beforeAutospacing="1" w:after="100" w:afterAutospacing="1"/>
    </w:pPr>
    <w:rPr>
      <w:sz w:val="18"/>
      <w:szCs w:val="18"/>
    </w:rPr>
  </w:style>
  <w:style w:type="paragraph" w:customStyle="1" w:styleId="240">
    <w:name w:val="p18"/>
    <w:basedOn w:val="1"/>
    <w:qFormat/>
    <w:uiPriority w:val="3"/>
  </w:style>
  <w:style w:type="paragraph" w:customStyle="1" w:styleId="241">
    <w:name w:val="xl110"/>
    <w:basedOn w:val="1"/>
    <w:qFormat/>
    <w:uiPriority w:val="3"/>
    <w:pPr>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jc w:val="center"/>
    </w:pPr>
    <w:rPr>
      <w:sz w:val="20"/>
      <w:szCs w:val="20"/>
    </w:rPr>
  </w:style>
  <w:style w:type="paragraph" w:customStyle="1" w:styleId="242">
    <w:name w:val="CD 正文"/>
    <w:basedOn w:val="1"/>
    <w:qFormat/>
    <w:uiPriority w:val="2"/>
    <w:pPr>
      <w:widowControl w:val="0"/>
    </w:pPr>
    <w:rPr>
      <w:rFonts w:ascii="Arial" w:hAnsi="Arial" w:eastAsia="微软雅黑" w:cs="Times New Roman"/>
      <w:kern w:val="2"/>
      <w:sz w:val="21"/>
    </w:rPr>
  </w:style>
  <w:style w:type="paragraph" w:customStyle="1" w:styleId="243">
    <w:name w:val="font39"/>
    <w:basedOn w:val="1"/>
    <w:qFormat/>
    <w:uiPriority w:val="6"/>
    <w:pPr>
      <w:spacing w:before="100" w:beforeAutospacing="1" w:after="100" w:afterAutospacing="1"/>
    </w:pPr>
    <w:rPr>
      <w:sz w:val="20"/>
      <w:szCs w:val="20"/>
    </w:rPr>
  </w:style>
  <w:style w:type="character" w:customStyle="1" w:styleId="244">
    <w:name w:val="正文1 Char"/>
    <w:qFormat/>
    <w:uiPriority w:val="3"/>
    <w:rPr>
      <w:rFonts w:eastAsia="宋体"/>
      <w:kern w:val="2"/>
      <w:sz w:val="24"/>
      <w:lang w:val="en-US" w:eastAsia="zh-CN" w:bidi="ar-SA"/>
    </w:rPr>
  </w:style>
  <w:style w:type="character" w:customStyle="1" w:styleId="245">
    <w:name w:val="content1"/>
    <w:qFormat/>
    <w:uiPriority w:val="6"/>
    <w:rPr>
      <w:color w:val="000000"/>
      <w:sz w:val="20"/>
      <w:u w:val="none"/>
    </w:rPr>
  </w:style>
  <w:style w:type="character" w:customStyle="1" w:styleId="246">
    <w:name w:val="bds_nopic1"/>
    <w:basedOn w:val="35"/>
    <w:qFormat/>
    <w:uiPriority w:val="7"/>
  </w:style>
  <w:style w:type="character" w:customStyle="1" w:styleId="247">
    <w:name w:val="Char Char1"/>
    <w:qFormat/>
    <w:locked/>
    <w:uiPriority w:val="6"/>
    <w:rPr>
      <w:rFonts w:ascii="宋体" w:hAnsi="宋体" w:eastAsia="宋体"/>
      <w:kern w:val="2"/>
      <w:sz w:val="18"/>
      <w:szCs w:val="18"/>
      <w:lang w:bidi="ar-SA"/>
    </w:rPr>
  </w:style>
  <w:style w:type="character" w:customStyle="1" w:styleId="248">
    <w:name w:val="15"/>
    <w:basedOn w:val="35"/>
    <w:qFormat/>
    <w:uiPriority w:val="0"/>
    <w:rPr>
      <w:rFonts w:hint="default" w:ascii="Calibri" w:hAnsi="Calibri" w:eastAsia="Times New Roman"/>
      <w:b/>
      <w:bCs/>
      <w:sz w:val="20"/>
      <w:szCs w:val="24"/>
      <w:lang w:eastAsia="en-US"/>
    </w:rPr>
  </w:style>
  <w:style w:type="character" w:customStyle="1" w:styleId="249">
    <w:name w:val="bds_more"/>
    <w:basedOn w:val="35"/>
    <w:qFormat/>
    <w:uiPriority w:val="7"/>
  </w:style>
  <w:style w:type="character" w:customStyle="1" w:styleId="250">
    <w:name w:val="标题 3 Char"/>
    <w:qFormat/>
    <w:uiPriority w:val="2"/>
    <w:rPr>
      <w:rFonts w:eastAsia="方正楷体_GB2312"/>
      <w:b/>
      <w:bCs/>
      <w:kern w:val="2"/>
      <w:sz w:val="15"/>
    </w:rPr>
  </w:style>
  <w:style w:type="character" w:customStyle="1" w:styleId="251">
    <w:name w:val="font01"/>
    <w:basedOn w:val="35"/>
    <w:qFormat/>
    <w:uiPriority w:val="0"/>
    <w:rPr>
      <w:rFonts w:hint="eastAsia" w:ascii="宋体" w:hAnsi="宋体" w:eastAsia="宋体" w:cs="宋体"/>
      <w:color w:val="000000"/>
      <w:sz w:val="20"/>
      <w:szCs w:val="20"/>
      <w:u w:val="none"/>
    </w:rPr>
  </w:style>
  <w:style w:type="character" w:customStyle="1" w:styleId="252">
    <w:name w:val="bds_more1"/>
    <w:qFormat/>
    <w:uiPriority w:val="7"/>
    <w:rPr>
      <w:rFonts w:hint="eastAsia" w:ascii="宋体" w:hAnsi="宋体" w:eastAsia="宋体" w:cs="宋体"/>
    </w:rPr>
  </w:style>
  <w:style w:type="character" w:customStyle="1" w:styleId="253">
    <w:name w:val="HTML 预设格式 Char"/>
    <w:qFormat/>
    <w:uiPriority w:val="4"/>
    <w:rPr>
      <w:rFonts w:ascii="Arial" w:hAnsi="Arial" w:cs="Arial"/>
      <w:sz w:val="24"/>
      <w:szCs w:val="24"/>
    </w:rPr>
  </w:style>
  <w:style w:type="character" w:customStyle="1" w:styleId="254">
    <w:name w:val="标题 1 Char"/>
    <w:qFormat/>
    <w:uiPriority w:val="2"/>
    <w:rPr>
      <w:rFonts w:ascii="方正楷体_GB2312" w:eastAsia="方正楷体_GB2312"/>
      <w:b/>
      <w:kern w:val="2"/>
      <w:sz w:val="28"/>
    </w:rPr>
  </w:style>
  <w:style w:type="character" w:customStyle="1" w:styleId="255">
    <w:name w:val="正文文本 Char"/>
    <w:qFormat/>
    <w:uiPriority w:val="0"/>
    <w:rPr>
      <w:rFonts w:ascii="华文中宋" w:eastAsia="华文中宋"/>
      <w:bCs/>
      <w:kern w:val="2"/>
      <w:sz w:val="28"/>
    </w:rPr>
  </w:style>
  <w:style w:type="character" w:customStyle="1" w:styleId="256">
    <w:name w:val="标题 2 Char"/>
    <w:qFormat/>
    <w:uiPriority w:val="2"/>
    <w:rPr>
      <w:rFonts w:ascii="方正楷体_GB2312" w:eastAsia="方正楷体_GB2312"/>
      <w:b/>
      <w:bCs/>
      <w:kern w:val="2"/>
      <w:sz w:val="18"/>
    </w:rPr>
  </w:style>
  <w:style w:type="character" w:customStyle="1" w:styleId="257">
    <w:name w:val="批注框文本 Char"/>
    <w:qFormat/>
    <w:uiPriority w:val="0"/>
    <w:rPr>
      <w:kern w:val="2"/>
      <w:sz w:val="18"/>
      <w:szCs w:val="18"/>
    </w:rPr>
  </w:style>
  <w:style w:type="character" w:customStyle="1" w:styleId="258">
    <w:name w:val="正文文本缩进 2 Char"/>
    <w:qFormat/>
    <w:uiPriority w:val="0"/>
    <w:rPr>
      <w:rFonts w:ascii="方正楷体_GB2312" w:eastAsia="方正楷体_GB2312"/>
      <w:b/>
      <w:kern w:val="2"/>
      <w:sz w:val="28"/>
    </w:rPr>
  </w:style>
  <w:style w:type="character" w:customStyle="1" w:styleId="259">
    <w:name w:val="纯文本 Char"/>
    <w:qFormat/>
    <w:uiPriority w:val="0"/>
    <w:rPr>
      <w:rFonts w:ascii="宋体" w:hAnsi="Courier New" w:eastAsia="Times New Roman"/>
      <w:szCs w:val="21"/>
    </w:rPr>
  </w:style>
  <w:style w:type="character" w:customStyle="1" w:styleId="260">
    <w:name w:val="case31"/>
    <w:qFormat/>
    <w:uiPriority w:val="7"/>
    <w:rPr>
      <w:rFonts w:hint="default"/>
      <w:spacing w:val="390"/>
      <w:sz w:val="21"/>
      <w:szCs w:val="21"/>
    </w:rPr>
  </w:style>
  <w:style w:type="character" w:customStyle="1" w:styleId="261">
    <w:name w:val="time"/>
    <w:basedOn w:val="35"/>
    <w:qFormat/>
    <w:uiPriority w:val="0"/>
  </w:style>
  <w:style w:type="character" w:customStyle="1" w:styleId="262">
    <w:name w:val="标题 1 字符"/>
    <w:link w:val="2"/>
    <w:qFormat/>
    <w:uiPriority w:val="2"/>
    <w:rPr>
      <w:rFonts w:ascii="方正楷体_GB2312" w:hAnsi="方正楷体_GB2312" w:eastAsia="黑体"/>
      <w:b/>
      <w:sz w:val="30"/>
    </w:rPr>
  </w:style>
  <w:style w:type="character" w:customStyle="1" w:styleId="263">
    <w:name w:val="font41"/>
    <w:qFormat/>
    <w:uiPriority w:val="6"/>
    <w:rPr>
      <w:rFonts w:hint="eastAsia" w:ascii="宋体" w:hAnsi="宋体" w:eastAsia="宋体"/>
      <w:color w:val="000000"/>
      <w:sz w:val="24"/>
      <w:szCs w:val="24"/>
      <w:u w:val="none"/>
    </w:rPr>
  </w:style>
  <w:style w:type="character" w:customStyle="1" w:styleId="264">
    <w:name w:val="fc01294d3e-4153-482a-aea1-4b54892b7913-1"/>
    <w:basedOn w:val="35"/>
    <w:qFormat/>
    <w:uiPriority w:val="3"/>
  </w:style>
  <w:style w:type="character" w:customStyle="1" w:styleId="265">
    <w:name w:val="页眉 Char"/>
    <w:qFormat/>
    <w:uiPriority w:val="2"/>
    <w:rPr>
      <w:kern w:val="2"/>
      <w:sz w:val="18"/>
    </w:rPr>
  </w:style>
  <w:style w:type="character" w:customStyle="1" w:styleId="266">
    <w:name w:val="批注框文本 Char1"/>
    <w:qFormat/>
    <w:uiPriority w:val="0"/>
    <w:rPr>
      <w:rFonts w:ascii="Verdana" w:hAnsi="Verdana" w:eastAsia="Times New Roman"/>
      <w:kern w:val="2"/>
      <w:sz w:val="18"/>
      <w:szCs w:val="18"/>
      <w:lang w:eastAsia="en-US"/>
    </w:rPr>
  </w:style>
  <w:style w:type="character" w:customStyle="1" w:styleId="267">
    <w:name w:val="批注文字 Char"/>
    <w:qFormat/>
    <w:uiPriority w:val="0"/>
    <w:rPr>
      <w:kern w:val="2"/>
      <w:sz w:val="21"/>
    </w:rPr>
  </w:style>
  <w:style w:type="character" w:customStyle="1" w:styleId="268">
    <w:name w:val="Char Char"/>
    <w:qFormat/>
    <w:uiPriority w:val="6"/>
    <w:rPr>
      <w:rFonts w:ascii="方正楷体_GB2312" w:eastAsia="方正楷体_GB2312"/>
      <w:spacing w:val="20"/>
      <w:sz w:val="28"/>
      <w:lang w:val="en-US" w:eastAsia="zh-CN" w:bidi="ar-SA"/>
    </w:rPr>
  </w:style>
  <w:style w:type="character" w:customStyle="1" w:styleId="269">
    <w:name w:val="批注文字 Char1"/>
    <w:qFormat/>
    <w:uiPriority w:val="0"/>
    <w:rPr>
      <w:rFonts w:ascii="Verdana" w:hAnsi="Verdana" w:eastAsia="Times New Roman"/>
      <w:kern w:val="2"/>
      <w:sz w:val="21"/>
      <w:lang w:eastAsia="en-US"/>
    </w:rPr>
  </w:style>
  <w:style w:type="character" w:customStyle="1" w:styleId="270">
    <w:name w:val="Char Char14"/>
    <w:qFormat/>
    <w:uiPriority w:val="6"/>
    <w:rPr>
      <w:rFonts w:eastAsia="宋体"/>
      <w:kern w:val="2"/>
      <w:sz w:val="18"/>
      <w:lang w:val="en-US" w:eastAsia="zh-CN" w:bidi="ar-SA"/>
    </w:rPr>
  </w:style>
  <w:style w:type="character" w:customStyle="1" w:styleId="271">
    <w:name w:val="bds_nopic"/>
    <w:basedOn w:val="35"/>
    <w:qFormat/>
    <w:uiPriority w:val="7"/>
  </w:style>
  <w:style w:type="character" w:customStyle="1" w:styleId="272">
    <w:name w:val="称呼 Char"/>
    <w:qFormat/>
    <w:uiPriority w:val="2"/>
    <w:rPr>
      <w:rFonts w:ascii="方正楷体_GB2312" w:eastAsia="方正楷体_GB2312"/>
      <w:spacing w:val="20"/>
      <w:sz w:val="28"/>
    </w:rPr>
  </w:style>
  <w:style w:type="character" w:customStyle="1" w:styleId="273">
    <w:name w:val="bds_nopic2"/>
    <w:basedOn w:val="35"/>
    <w:qFormat/>
    <w:uiPriority w:val="7"/>
  </w:style>
  <w:style w:type="character" w:customStyle="1" w:styleId="274">
    <w:name w:val="Char Char2"/>
    <w:qFormat/>
    <w:uiPriority w:val="6"/>
    <w:rPr>
      <w:rFonts w:ascii="Times New Roman" w:hAnsi="Times New Roman"/>
      <w:sz w:val="18"/>
      <w:szCs w:val="18"/>
    </w:rPr>
  </w:style>
  <w:style w:type="character" w:customStyle="1" w:styleId="275">
    <w:name w:val="标题 5 Char"/>
    <w:qFormat/>
    <w:uiPriority w:val="2"/>
    <w:rPr>
      <w:rFonts w:ascii="方正楷体_GB2312" w:eastAsia="方正楷体_GB2312"/>
      <w:bCs/>
      <w:kern w:val="2"/>
      <w:sz w:val="28"/>
    </w:rPr>
  </w:style>
  <w:style w:type="character" w:customStyle="1" w:styleId="276">
    <w:name w:val="正文 + 行距: 固定值 18 磅 Char"/>
    <w:qFormat/>
    <w:uiPriority w:val="2"/>
    <w:rPr>
      <w:kern w:val="2"/>
      <w:sz w:val="21"/>
      <w:szCs w:val="24"/>
    </w:rPr>
  </w:style>
  <w:style w:type="character" w:customStyle="1" w:styleId="277">
    <w:name w:val="bds_more2"/>
    <w:basedOn w:val="35"/>
    <w:qFormat/>
    <w:uiPriority w:val="7"/>
  </w:style>
  <w:style w:type="character" w:customStyle="1" w:styleId="278">
    <w:name w:val="文档结构图 Char"/>
    <w:semiHidden/>
    <w:qFormat/>
    <w:uiPriority w:val="0"/>
    <w:rPr>
      <w:kern w:val="2"/>
      <w:sz w:val="21"/>
      <w:shd w:val="clear" w:color="auto" w:fill="000080"/>
    </w:rPr>
  </w:style>
  <w:style w:type="character" w:customStyle="1" w:styleId="279">
    <w:name w:val="Char Char3"/>
    <w:qFormat/>
    <w:uiPriority w:val="6"/>
    <w:rPr>
      <w:rFonts w:eastAsia="方正楷体_GB2312"/>
      <w:b/>
      <w:bCs/>
      <w:kern w:val="2"/>
      <w:sz w:val="15"/>
      <w:lang w:val="en-US" w:eastAsia="zh-CN" w:bidi="ar-SA"/>
    </w:rPr>
  </w:style>
  <w:style w:type="character" w:customStyle="1" w:styleId="280">
    <w:name w:val="mini-outputtext1"/>
    <w:basedOn w:val="35"/>
    <w:qFormat/>
    <w:uiPriority w:val="0"/>
  </w:style>
  <w:style w:type="character" w:customStyle="1" w:styleId="281">
    <w:name w:val="apple-style-span"/>
    <w:basedOn w:val="35"/>
    <w:qFormat/>
    <w:uiPriority w:val="7"/>
  </w:style>
  <w:style w:type="character" w:customStyle="1" w:styleId="282">
    <w:name w:val="标题 4 Char"/>
    <w:qFormat/>
    <w:uiPriority w:val="2"/>
    <w:rPr>
      <w:rFonts w:eastAsia="方正楷体_GB2312"/>
      <w:b/>
      <w:bCs/>
      <w:kern w:val="2"/>
      <w:sz w:val="13"/>
    </w:rPr>
  </w:style>
  <w:style w:type="character" w:customStyle="1" w:styleId="283">
    <w:name w:val="Char Char13"/>
    <w:qFormat/>
    <w:uiPriority w:val="6"/>
    <w:rPr>
      <w:rFonts w:eastAsia="宋体"/>
      <w:kern w:val="2"/>
      <w:sz w:val="18"/>
      <w:lang w:val="en-US" w:eastAsia="zh-CN" w:bidi="ar-SA"/>
    </w:rPr>
  </w:style>
  <w:style w:type="character" w:customStyle="1" w:styleId="284">
    <w:name w:val="页脚 Char"/>
    <w:qFormat/>
    <w:uiPriority w:val="2"/>
    <w:rPr>
      <w:kern w:val="2"/>
      <w:sz w:val="18"/>
    </w:rPr>
  </w:style>
  <w:style w:type="character" w:customStyle="1" w:styleId="285">
    <w:name w:val="正文文本 2 Char"/>
    <w:qFormat/>
    <w:uiPriority w:val="0"/>
    <w:rPr>
      <w:kern w:val="2"/>
      <w:sz w:val="21"/>
    </w:rPr>
  </w:style>
  <w:style w:type="character" w:customStyle="1" w:styleId="286">
    <w:name w:val="页码1"/>
    <w:basedOn w:val="35"/>
    <w:qFormat/>
    <w:uiPriority w:val="3"/>
  </w:style>
  <w:style w:type="character" w:customStyle="1" w:styleId="287">
    <w:name w:val="正文文本缩进 Char"/>
    <w:qFormat/>
    <w:uiPriority w:val="0"/>
    <w:rPr>
      <w:b/>
      <w:kern w:val="2"/>
      <w:sz w:val="30"/>
    </w:rPr>
  </w:style>
  <w:style w:type="character" w:customStyle="1" w:styleId="288">
    <w:name w:val="普通文字 Char Char1"/>
    <w:qFormat/>
    <w:locked/>
    <w:uiPriority w:val="0"/>
    <w:rPr>
      <w:rFonts w:ascii="宋体" w:hAnsi="Courier New"/>
      <w:szCs w:val="21"/>
      <w:lang w:bidi="ar-SA"/>
    </w:rPr>
  </w:style>
  <w:style w:type="character" w:customStyle="1" w:styleId="289">
    <w:name w:val="status"/>
    <w:basedOn w:val="35"/>
    <w:qFormat/>
    <w:uiPriority w:val="0"/>
    <w:rPr>
      <w:color w:val="0776DD"/>
    </w:rPr>
  </w:style>
  <w:style w:type="character" w:customStyle="1" w:styleId="290">
    <w:name w:val="日期 Char"/>
    <w:qFormat/>
    <w:uiPriority w:val="2"/>
    <w:rPr>
      <w:rFonts w:eastAsia="黑体"/>
      <w:b/>
      <w:kern w:val="2"/>
      <w:sz w:val="36"/>
    </w:rPr>
  </w:style>
  <w:style w:type="character" w:customStyle="1" w:styleId="291">
    <w:name w:val="Ò³Ã¼ Char Char"/>
    <w:qFormat/>
    <w:uiPriority w:val="12"/>
    <w:rPr>
      <w:rFonts w:eastAsia="宋体"/>
      <w:kern w:val="2"/>
      <w:sz w:val="18"/>
      <w:lang w:val="en-US" w:eastAsia="zh-CN" w:bidi="ar-SA"/>
    </w:rPr>
  </w:style>
  <w:style w:type="character" w:customStyle="1" w:styleId="292">
    <w:name w:val="纯文本21"/>
    <w:qFormat/>
    <w:uiPriority w:val="0"/>
    <w:rPr>
      <w:sz w:val="24"/>
      <w:szCs w:val="21"/>
    </w:rPr>
  </w:style>
  <w:style w:type="character" w:customStyle="1" w:styleId="293">
    <w:name w:val="正文文本缩进 3 Char"/>
    <w:qFormat/>
    <w:uiPriority w:val="0"/>
    <w:rPr>
      <w:kern w:val="2"/>
      <w:sz w:val="21"/>
    </w:rPr>
  </w:style>
  <w:style w:type="character" w:customStyle="1" w:styleId="294">
    <w:name w:val="表格 Char Char"/>
    <w:qFormat/>
    <w:uiPriority w:val="2"/>
    <w:rPr>
      <w:rFonts w:ascii="宋体" w:hAnsi="宋体"/>
      <w:lang w:bidi="ar-SA"/>
    </w:rPr>
  </w:style>
  <w:style w:type="character" w:customStyle="1" w:styleId="295">
    <w:name w:val="无间隔 Char"/>
    <w:qFormat/>
    <w:uiPriority w:val="0"/>
    <w:rPr>
      <w:rFonts w:ascii="Calibri" w:hAnsi="Calibri"/>
      <w:sz w:val="22"/>
      <w:szCs w:val="22"/>
      <w:lang w:val="en-US" w:eastAsia="zh-CN" w:bidi="ar-SA"/>
    </w:rPr>
  </w:style>
  <w:style w:type="character" w:customStyle="1" w:styleId="296">
    <w:name w:val="批注主题 Char1"/>
    <w:qFormat/>
    <w:uiPriority w:val="0"/>
    <w:rPr>
      <w:rFonts w:ascii="Verdana" w:hAnsi="Verdana" w:eastAsia="Times New Roman"/>
      <w:b/>
      <w:bCs/>
      <w:kern w:val="2"/>
      <w:sz w:val="21"/>
      <w:lang w:eastAsia="en-US"/>
    </w:rPr>
  </w:style>
  <w:style w:type="character" w:customStyle="1" w:styleId="297">
    <w:name w:val="批注主题 Char"/>
    <w:basedOn w:val="267"/>
    <w:qFormat/>
    <w:uiPriority w:val="0"/>
    <w:rPr>
      <w:kern w:val="2"/>
      <w:sz w:val="21"/>
    </w:rPr>
  </w:style>
  <w:style w:type="paragraph" w:customStyle="1" w:styleId="298">
    <w:name w:val="Other|1"/>
    <w:basedOn w:val="1"/>
    <w:qFormat/>
    <w:uiPriority w:val="0"/>
    <w:pPr>
      <w:widowControl w:val="0"/>
      <w:jc w:val="both"/>
    </w:pPr>
    <w:rPr>
      <w:kern w:val="2"/>
      <w:sz w:val="18"/>
      <w:szCs w:val="18"/>
      <w:lang w:val="zh-TW" w:eastAsia="zh-TW" w:bidi="zh-TW"/>
    </w:rPr>
  </w:style>
  <w:style w:type="paragraph" w:customStyle="1" w:styleId="299">
    <w:name w:val="mini-messagebox-msg"/>
    <w:basedOn w:val="1"/>
    <w:qFormat/>
    <w:uiPriority w:val="0"/>
    <w:pPr>
      <w:widowControl w:val="0"/>
      <w:wordWrap w:val="0"/>
      <w:spacing w:line="360" w:lineRule="atLeast"/>
      <w:ind w:left="1500"/>
    </w:pPr>
    <w:rPr>
      <w:rFonts w:ascii="Calibri" w:hAnsi="Calibri" w:cs="Times New Roman"/>
      <w:sz w:val="19"/>
      <w:szCs w:val="19"/>
    </w:rPr>
  </w:style>
  <w:style w:type="paragraph" w:customStyle="1" w:styleId="300">
    <w:name w:val="表格内容_左对齐"/>
    <w:basedOn w:val="1"/>
    <w:qFormat/>
    <w:uiPriority w:val="0"/>
    <w:rPr>
      <w:color w:val="000000"/>
      <w:sz w:val="22"/>
      <w:szCs w:val="20"/>
    </w:rPr>
  </w:style>
  <w:style w:type="paragraph" w:customStyle="1" w:styleId="301">
    <w:name w:val="中文正文_项目编号"/>
    <w:basedOn w:val="302"/>
    <w:qFormat/>
    <w:uiPriority w:val="0"/>
    <w:pPr>
      <w:numPr>
        <w:ilvl w:val="0"/>
        <w:numId w:val="6"/>
      </w:numPr>
      <w:ind w:firstLine="0" w:firstLineChars="0"/>
    </w:pPr>
  </w:style>
  <w:style w:type="paragraph" w:customStyle="1" w:styleId="302">
    <w:name w:val="中文正文"/>
    <w:basedOn w:val="1"/>
    <w:qFormat/>
    <w:uiPriority w:val="0"/>
    <w:pPr>
      <w:widowControl w:val="0"/>
      <w:spacing w:line="312" w:lineRule="auto"/>
      <w:ind w:firstLine="200" w:firstLineChars="200"/>
      <w:jc w:val="both"/>
    </w:pPr>
    <w:rPr>
      <w:rFonts w:ascii="Calibri" w:hAnsi="Calibri" w:cs="Times New Roman"/>
      <w:kern w:val="2"/>
      <w:szCs w:val="21"/>
    </w:rPr>
  </w:style>
  <w:style w:type="paragraph" w:customStyle="1" w:styleId="303">
    <w:name w:val="表行"/>
    <w:basedOn w:val="1"/>
    <w:qFormat/>
    <w:uiPriority w:val="0"/>
    <w:pPr>
      <w:spacing w:beforeLines="50"/>
      <w:jc w:val="both"/>
    </w:pPr>
    <w:rPr>
      <w:rFonts w:ascii="Times New Roman" w:hAnsi="Times New Roman" w:cs="Times New Roman"/>
      <w:sz w:val="21"/>
      <w:szCs w:val="21"/>
    </w:rPr>
  </w:style>
  <w:style w:type="character" w:customStyle="1" w:styleId="304">
    <w:name w:val="fontstyle01"/>
    <w:basedOn w:val="35"/>
    <w:qFormat/>
    <w:uiPriority w:val="0"/>
    <w:rPr>
      <w:rFonts w:hint="eastAsia" w:ascii="宋体" w:hAnsi="宋体" w:eastAsia="宋体"/>
      <w:color w:val="000000"/>
      <w:sz w:val="24"/>
      <w:szCs w:val="24"/>
    </w:rPr>
  </w:style>
  <w:style w:type="paragraph" w:customStyle="1" w:styleId="305">
    <w:name w:val="中文正文_数字编号"/>
    <w:basedOn w:val="302"/>
    <w:qFormat/>
    <w:uiPriority w:val="0"/>
    <w:pPr>
      <w:numPr>
        <w:ilvl w:val="0"/>
        <w:numId w:val="7"/>
      </w:numPr>
      <w:ind w:firstLine="0" w:firstLineChars="0"/>
    </w:pPr>
  </w:style>
  <w:style w:type="character" w:customStyle="1" w:styleId="306">
    <w:name w:val="标题 2 字符"/>
    <w:link w:val="3"/>
    <w:qFormat/>
    <w:uiPriority w:val="2"/>
    <w:rPr>
      <w:rFonts w:ascii="方正楷体_GB2312" w:hAnsi="方正楷体_GB2312" w:eastAsia="微软雅黑"/>
      <w:b/>
      <w:bCs/>
      <w:sz w:val="30"/>
    </w:rPr>
  </w:style>
  <w:style w:type="character" w:customStyle="1" w:styleId="307">
    <w:name w:val="批注框文本 字符"/>
    <w:basedOn w:val="35"/>
    <w:link w:val="21"/>
    <w:qFormat/>
    <w:uiPriority w:val="0"/>
    <w:rPr>
      <w:rFonts w:ascii="Calibri" w:hAnsi="Calibri"/>
      <w:kern w:val="2"/>
      <w:sz w:val="18"/>
      <w:szCs w:val="18"/>
    </w:rPr>
  </w:style>
  <w:style w:type="paragraph" w:customStyle="1" w:styleId="308">
    <w:name w:val="样式 样式 标题 2 + 段前: 0.5 行 段后: 0.5 行 + 首行缩进:  2 字符 段前: 0.5 行 段后: 0..."/>
    <w:basedOn w:val="309"/>
    <w:qFormat/>
    <w:uiPriority w:val="0"/>
    <w:pPr>
      <w:tabs>
        <w:tab w:val="left" w:pos="0"/>
      </w:tabs>
      <w:spacing w:before="50" w:after="50"/>
      <w:ind w:firstLine="0"/>
    </w:pPr>
  </w:style>
  <w:style w:type="paragraph" w:customStyle="1" w:styleId="309">
    <w:name w:val="样式 标题 2 + 段前: 0.5 行 段后: 0.5 行"/>
    <w:basedOn w:val="3"/>
    <w:qFormat/>
    <w:uiPriority w:val="0"/>
    <w:pPr>
      <w:spacing w:before="156" w:after="156"/>
    </w:pPr>
    <w:rPr>
      <w:rFonts w:ascii="Times New Roman" w:hAnsi="Times New Roman"/>
      <w:b w:val="0"/>
      <w:sz w:val="21"/>
    </w:rPr>
  </w:style>
  <w:style w:type="paragraph" w:customStyle="1" w:styleId="310">
    <w:name w:val="表内项目条目"/>
    <w:basedOn w:val="1"/>
    <w:qFormat/>
    <w:uiPriority w:val="0"/>
    <w:pPr>
      <w:widowControl w:val="0"/>
      <w:jc w:val="center"/>
    </w:pPr>
    <w:rPr>
      <w:rFonts w:ascii="Times New Roman" w:hAnsi="Times New Roman" w:cs="Times New Roman"/>
      <w:kern w:val="2"/>
    </w:rPr>
  </w:style>
  <w:style w:type="paragraph" w:customStyle="1" w:styleId="311">
    <w:name w:val="表内文字"/>
    <w:basedOn w:val="1"/>
    <w:qFormat/>
    <w:uiPriority w:val="0"/>
    <w:pPr>
      <w:widowControl w:val="0"/>
    </w:pPr>
    <w:rPr>
      <w:rFonts w:ascii="Times New Roman" w:hAnsi="Times New Roman" w:cs="Times New Roman"/>
      <w:kern w:val="2"/>
    </w:rPr>
  </w:style>
  <w:style w:type="paragraph" w:customStyle="1" w:styleId="312">
    <w:name w:val="表内文字居中"/>
    <w:basedOn w:val="311"/>
    <w:qFormat/>
    <w:uiPriority w:val="0"/>
    <w:pPr>
      <w:jc w:val="center"/>
    </w:pPr>
  </w:style>
  <w:style w:type="paragraph" w:customStyle="1" w:styleId="313">
    <w:name w:val="TOC Heading"/>
    <w:basedOn w:val="2"/>
    <w:next w:val="1"/>
    <w:unhideWhenUsed/>
    <w:qFormat/>
    <w:uiPriority w:val="39"/>
    <w:pPr>
      <w:keepLines/>
      <w:numPr>
        <w:numId w:val="0"/>
      </w:numPr>
      <w:spacing w:after="0" w:line="259" w:lineRule="auto"/>
      <w:outlineLvl w:val="9"/>
    </w:pPr>
    <w:rPr>
      <w:rFonts w:asciiTheme="majorHAnsi" w:hAnsiTheme="majorHAnsi" w:eastAsiaTheme="majorEastAsia" w:cstheme="majorBidi"/>
      <w:color w:val="376092" w:themeColor="accent1" w:themeShade="BF"/>
      <w:sz w:val="32"/>
      <w:szCs w:val="32"/>
    </w:rPr>
  </w:style>
  <w:style w:type="character" w:customStyle="1" w:styleId="314">
    <w:name w:val="标题 3 字符"/>
    <w:basedOn w:val="35"/>
    <w:link w:val="4"/>
    <w:qFormat/>
    <w:uiPriority w:val="2"/>
    <w:rPr>
      <w:rFonts w:ascii="Calibri" w:hAnsi="Calibri"/>
      <w:b/>
      <w:bCs/>
      <w:kern w:val="2"/>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07FB9-A3BA-4409-9DDF-D87F038D2594}">
  <ds:schemaRefs/>
</ds:datastoreItem>
</file>

<file path=docProps/app.xml><?xml version="1.0" encoding="utf-8"?>
<Properties xmlns="http://schemas.openxmlformats.org/officeDocument/2006/extended-properties" xmlns:vt="http://schemas.openxmlformats.org/officeDocument/2006/docPropsVTypes">
  <Template>Normal</Template>
  <Pages>45</Pages>
  <Words>13015</Words>
  <Characters>13656</Characters>
  <Lines>100</Lines>
  <Paragraphs>28</Paragraphs>
  <TotalTime>1</TotalTime>
  <ScaleCrop>false</ScaleCrop>
  <LinksUpToDate>false</LinksUpToDate>
  <CharactersWithSpaces>14229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2025-06-25T16:52:00Z</dcterms:created>
  <dc:creator>猪拳神</dc:creator>
  <cp:lastModifiedBy>张红灯</cp:lastModifiedBy>
  <cp:lastPrinted>2021-11-21T12:40:00Z</cp:lastPrinted>
  <dcterms:modified xsi:type="dcterms:W3CDTF">2026-08-12T00:19:47Z</dcterms:modified>
  <dc:title>投标邀请函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791E1C9CBF834B7281E1927F572DFEDA_13</vt:lpwstr>
  </property>
  <property fmtid="{D5CDD505-2E9C-101B-9397-08002B2CF9AE}" pid="4" name="KSOTemplateDocerSaveRecord">
    <vt:lpwstr>eyJoZGlkIjoiM2ZmNmIwNzVkZWIxMTIzNjY0MzdjOTY0NjkwYjRjNzAiLCJ1c2VySWQiOiIxNTI3MjMzMTI3In0=</vt:lpwstr>
  </property>
</Properties>
</file>