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886A2C">
      <w:pPr>
        <w:keepNext/>
        <w:keepLines w:val="0"/>
        <w:pageBreakBefore w:val="0"/>
        <w:widowControl w:val="0"/>
        <w:kinsoku/>
        <w:wordWrap w:val="0"/>
        <w:overflowPunct/>
        <w:topLinePunct w:val="0"/>
        <w:autoSpaceDE/>
        <w:autoSpaceDN/>
        <w:bidi w:val="0"/>
        <w:adjustRightInd/>
        <w:snapToGrid/>
        <w:spacing w:line="240" w:lineRule="auto"/>
        <w:ind w:left="0" w:leftChars="0" w:firstLine="0" w:firstLineChars="0"/>
        <w:jc w:val="center"/>
        <w:textAlignment w:val="auto"/>
        <w:rPr>
          <w:rFonts w:hint="eastAsia"/>
          <w:b/>
          <w:bCs/>
          <w:sz w:val="36"/>
          <w:szCs w:val="36"/>
          <w:lang w:eastAsia="zh-CN"/>
        </w:rPr>
      </w:pPr>
      <w:bookmarkStart w:id="0" w:name="_GoBack"/>
      <w:bookmarkEnd w:id="0"/>
      <w:r>
        <w:rPr>
          <w:rFonts w:hint="eastAsia"/>
          <w:b/>
          <w:bCs/>
          <w:sz w:val="36"/>
          <w:szCs w:val="36"/>
          <w:lang w:eastAsia="zh-CN"/>
        </w:rPr>
        <w:t>城关镇后寨子村香菇种植大棚建设项目</w:t>
      </w:r>
    </w:p>
    <w:p w14:paraId="0D0CB6E2">
      <w:pPr>
        <w:keepNext/>
        <w:keepLines w:val="0"/>
        <w:pageBreakBefore w:val="0"/>
        <w:widowControl w:val="0"/>
        <w:kinsoku/>
        <w:wordWrap w:val="0"/>
        <w:overflowPunct/>
        <w:topLinePunct w:val="0"/>
        <w:autoSpaceDE/>
        <w:autoSpaceDN/>
        <w:bidi w:val="0"/>
        <w:adjustRightInd/>
        <w:snapToGrid/>
        <w:spacing w:line="240" w:lineRule="auto"/>
        <w:ind w:left="0" w:leftChars="0" w:firstLine="0" w:firstLineChars="0"/>
        <w:jc w:val="center"/>
        <w:textAlignment w:val="auto"/>
        <w:rPr>
          <w:rFonts w:hint="default"/>
          <w:b/>
          <w:bCs/>
          <w:sz w:val="36"/>
          <w:szCs w:val="36"/>
        </w:rPr>
      </w:pPr>
      <w:r>
        <w:rPr>
          <w:rFonts w:hint="default"/>
          <w:b/>
          <w:bCs/>
          <w:sz w:val="36"/>
          <w:szCs w:val="36"/>
        </w:rPr>
        <w:t>资格预审公告</w:t>
      </w:r>
    </w:p>
    <w:p w14:paraId="72666984">
      <w:pPr>
        <w:bidi w:val="0"/>
        <w:rPr>
          <w:rFonts w:hint="default"/>
        </w:rPr>
      </w:pPr>
      <w:r>
        <w:rPr>
          <w:rFonts w:hint="eastAsia"/>
          <w:lang w:val="en-US" w:eastAsia="zh-CN"/>
        </w:rPr>
        <w:t>城关镇后寨子村香菇种植大棚建设项目</w:t>
      </w:r>
      <w:r>
        <w:rPr>
          <w:rFonts w:hint="default"/>
          <w:lang w:eastAsia="zh-CN"/>
        </w:rPr>
        <w:t>，</w:t>
      </w:r>
      <w:r>
        <w:rPr>
          <w:rFonts w:hint="default"/>
        </w:rPr>
        <w:t>已由</w:t>
      </w:r>
      <w:r>
        <w:rPr>
          <w:rFonts w:hint="default"/>
          <w:lang w:val="en-US" w:eastAsia="zh-CN"/>
        </w:rPr>
        <w:t>和政县农业农村局关于对《城关镇后寨子村香菇种植大棚建设项目实施方案》的批复（和农发〔2026〕107号）文</w:t>
      </w:r>
      <w:r>
        <w:rPr>
          <w:rFonts w:hint="default"/>
        </w:rPr>
        <w:t>件批准建设</w:t>
      </w:r>
      <w:r>
        <w:rPr>
          <w:rFonts w:hint="default"/>
          <w:lang w:eastAsia="zh-CN"/>
        </w:rPr>
        <w:t>，</w:t>
      </w:r>
      <w:r>
        <w:rPr>
          <w:rFonts w:hint="default"/>
        </w:rPr>
        <w:t>已具备招标条件，现对该项目进行</w:t>
      </w:r>
      <w:r>
        <w:rPr>
          <w:rFonts w:hint="default"/>
          <w:lang w:eastAsia="zh-CN"/>
        </w:rPr>
        <w:t>公开招标</w:t>
      </w:r>
      <w:r>
        <w:rPr>
          <w:rFonts w:hint="default"/>
        </w:rPr>
        <w:t>，特邀请有兴趣的潜在投标人（以下简称申请人）提出资格预审申请。</w:t>
      </w:r>
    </w:p>
    <w:p w14:paraId="687E2BE7">
      <w:pPr>
        <w:bidi w:val="0"/>
        <w:rPr>
          <w:rFonts w:hint="default"/>
          <w:b/>
          <w:bCs/>
        </w:rPr>
      </w:pPr>
      <w:r>
        <w:rPr>
          <w:rFonts w:hint="default"/>
          <w:b/>
          <w:bCs/>
        </w:rPr>
        <w:t>一、项目概况：</w:t>
      </w:r>
    </w:p>
    <w:p w14:paraId="4BADCE42">
      <w:pPr>
        <w:keepNext/>
        <w:keepLines w:val="0"/>
        <w:pageBreakBefore w:val="0"/>
        <w:widowControl w:val="0"/>
        <w:kinsoku/>
        <w:wordWrap w:val="0"/>
        <w:overflowPunct/>
        <w:topLinePunct w:val="0"/>
        <w:autoSpaceDE/>
        <w:autoSpaceDN/>
        <w:bidi w:val="0"/>
        <w:adjustRightInd/>
        <w:snapToGrid/>
        <w:spacing w:line="480" w:lineRule="exact"/>
        <w:textAlignment w:val="auto"/>
        <w:rPr>
          <w:rFonts w:hint="eastAsia" w:eastAsiaTheme="minorEastAsia"/>
          <w:color w:val="auto"/>
          <w:lang w:val="en-US" w:eastAsia="zh-CN"/>
        </w:rPr>
      </w:pPr>
      <w:r>
        <w:rPr>
          <w:rFonts w:hint="default"/>
        </w:rPr>
        <w:t>1、工程名称：</w:t>
      </w:r>
      <w:r>
        <w:rPr>
          <w:rFonts w:hint="eastAsia"/>
          <w:color w:val="auto"/>
          <w:lang w:eastAsia="zh-CN"/>
        </w:rPr>
        <w:t>城关镇后寨子村香菇种植大棚建设项目</w:t>
      </w:r>
    </w:p>
    <w:p w14:paraId="07C817BB">
      <w:pPr>
        <w:keepNext/>
        <w:keepLines w:val="0"/>
        <w:pageBreakBefore w:val="0"/>
        <w:widowControl w:val="0"/>
        <w:kinsoku/>
        <w:wordWrap w:val="0"/>
        <w:overflowPunct/>
        <w:topLinePunct w:val="0"/>
        <w:autoSpaceDE/>
        <w:autoSpaceDN/>
        <w:bidi w:val="0"/>
        <w:adjustRightInd/>
        <w:snapToGrid/>
        <w:spacing w:line="480" w:lineRule="exact"/>
        <w:textAlignment w:val="auto"/>
        <w:rPr>
          <w:rFonts w:hint="eastAsia" w:eastAsiaTheme="minorEastAsia"/>
          <w:color w:val="auto"/>
          <w:lang w:val="en-US" w:eastAsia="zh-CN"/>
        </w:rPr>
      </w:pPr>
      <w:r>
        <w:rPr>
          <w:rFonts w:hint="default"/>
          <w:color w:val="auto"/>
        </w:rPr>
        <w:t>2、建设单位：</w:t>
      </w:r>
      <w:r>
        <w:rPr>
          <w:rFonts w:hint="eastAsia"/>
          <w:color w:val="auto"/>
          <w:lang w:eastAsia="zh-CN"/>
        </w:rPr>
        <w:t>和政县扶贫开发投资有限公司</w:t>
      </w:r>
    </w:p>
    <w:p w14:paraId="3E1DEE93">
      <w:pPr>
        <w:keepNext/>
        <w:keepLines w:val="0"/>
        <w:pageBreakBefore w:val="0"/>
        <w:widowControl w:val="0"/>
        <w:kinsoku/>
        <w:wordWrap w:val="0"/>
        <w:overflowPunct/>
        <w:topLinePunct w:val="0"/>
        <w:autoSpaceDE/>
        <w:autoSpaceDN/>
        <w:bidi w:val="0"/>
        <w:adjustRightInd/>
        <w:snapToGrid/>
        <w:spacing w:line="480" w:lineRule="exact"/>
        <w:textAlignment w:val="auto"/>
        <w:rPr>
          <w:rFonts w:hint="eastAsia" w:eastAsiaTheme="minorEastAsia"/>
          <w:color w:val="auto"/>
          <w:lang w:eastAsia="zh-CN"/>
        </w:rPr>
      </w:pPr>
      <w:r>
        <w:rPr>
          <w:rFonts w:hint="default"/>
          <w:color w:val="auto"/>
        </w:rPr>
        <w:t>3、建设地点：</w:t>
      </w:r>
      <w:r>
        <w:rPr>
          <w:rFonts w:hint="eastAsia"/>
          <w:color w:val="auto"/>
          <w:lang w:eastAsia="zh-CN"/>
        </w:rPr>
        <w:t>和政县城关镇后寨子村</w:t>
      </w:r>
    </w:p>
    <w:p w14:paraId="31B5901A">
      <w:pPr>
        <w:keepNext/>
        <w:keepLines w:val="0"/>
        <w:pageBreakBefore w:val="0"/>
        <w:widowControl w:val="0"/>
        <w:kinsoku/>
        <w:wordWrap w:val="0"/>
        <w:overflowPunct/>
        <w:topLinePunct w:val="0"/>
        <w:autoSpaceDE/>
        <w:autoSpaceDN/>
        <w:bidi w:val="0"/>
        <w:adjustRightInd/>
        <w:snapToGrid/>
        <w:spacing w:line="480" w:lineRule="exact"/>
        <w:textAlignment w:val="auto"/>
        <w:rPr>
          <w:rFonts w:hint="default"/>
          <w:color w:val="auto"/>
        </w:rPr>
      </w:pPr>
      <w:r>
        <w:rPr>
          <w:rFonts w:hint="default"/>
          <w:color w:val="auto"/>
        </w:rPr>
        <w:t>4、资金来源：</w:t>
      </w:r>
      <w:r>
        <w:rPr>
          <w:rFonts w:hint="eastAsia"/>
          <w:color w:val="auto"/>
          <w:lang w:eastAsia="zh-CN"/>
        </w:rPr>
        <w:t>财政常态化帮扶资金，不足部分多渠道筹措</w:t>
      </w:r>
      <w:r>
        <w:rPr>
          <w:rFonts w:hint="default"/>
          <w:color w:val="auto"/>
        </w:rPr>
        <w:t>。</w:t>
      </w:r>
    </w:p>
    <w:p w14:paraId="09B18695">
      <w:pPr>
        <w:keepNext/>
        <w:keepLines w:val="0"/>
        <w:pageBreakBefore w:val="0"/>
        <w:widowControl w:val="0"/>
        <w:kinsoku/>
        <w:wordWrap w:val="0"/>
        <w:overflowPunct/>
        <w:topLinePunct w:val="0"/>
        <w:autoSpaceDE/>
        <w:autoSpaceDN/>
        <w:bidi w:val="0"/>
        <w:adjustRightInd/>
        <w:snapToGrid/>
        <w:spacing w:line="480" w:lineRule="exact"/>
        <w:textAlignment w:val="auto"/>
        <w:rPr>
          <w:rFonts w:hint="default"/>
          <w:color w:val="auto"/>
          <w:lang w:val="en-US" w:eastAsia="zh-CN"/>
        </w:rPr>
      </w:pPr>
      <w:r>
        <w:rPr>
          <w:rFonts w:hint="default"/>
          <w:color w:val="auto"/>
          <w:lang w:val="en-US" w:eastAsia="zh-CN"/>
        </w:rPr>
        <w:t>5、概算投资：项目总投资：1882.40万元，其中工程费用投资1768.82万元，预备费18.64万元，工程其他费用 94.94万元。</w:t>
      </w:r>
    </w:p>
    <w:p w14:paraId="294C6E6F">
      <w:pPr>
        <w:keepNext/>
        <w:keepLines w:val="0"/>
        <w:pageBreakBefore w:val="0"/>
        <w:widowControl w:val="0"/>
        <w:kinsoku/>
        <w:wordWrap w:val="0"/>
        <w:overflowPunct/>
        <w:topLinePunct w:val="0"/>
        <w:autoSpaceDE/>
        <w:autoSpaceDN/>
        <w:bidi w:val="0"/>
        <w:adjustRightInd/>
        <w:snapToGrid/>
        <w:spacing w:line="480" w:lineRule="exact"/>
        <w:textAlignment w:val="auto"/>
        <w:rPr>
          <w:rFonts w:hint="eastAsia"/>
          <w:color w:val="auto"/>
          <w:lang w:val="en-US" w:eastAsia="zh-CN"/>
        </w:rPr>
      </w:pPr>
      <w:r>
        <w:rPr>
          <w:rFonts w:hint="default"/>
          <w:color w:val="auto"/>
        </w:rPr>
        <w:t>6</w:t>
      </w:r>
      <w:r>
        <w:rPr>
          <w:rFonts w:hint="eastAsia"/>
          <w:color w:val="auto"/>
          <w:lang w:eastAsia="zh-CN"/>
        </w:rPr>
        <w:t>、</w:t>
      </w:r>
      <w:r>
        <w:rPr>
          <w:rFonts w:hint="eastAsia"/>
          <w:color w:val="auto"/>
          <w:lang w:val="en-US" w:eastAsia="zh-CN"/>
        </w:rPr>
        <w:t>建设规模：</w:t>
      </w:r>
    </w:p>
    <w:p w14:paraId="3CA095BD">
      <w:pPr>
        <w:bidi w:val="0"/>
        <w:rPr>
          <w:rFonts w:hint="eastAsia"/>
          <w:color w:val="auto"/>
          <w:lang w:val="en-US" w:eastAsia="zh-CN"/>
        </w:rPr>
      </w:pPr>
      <w:r>
        <w:rPr>
          <w:rFonts w:hint="eastAsia"/>
          <w:color w:val="auto"/>
          <w:lang w:val="en-US" w:eastAsia="zh-CN"/>
        </w:rPr>
        <w:t>本项目选址于和政县城关镇后寨子村，总用地面积125152.06平方米，折合187.91亩。项目主要建设内容为:新建不等长钢架拱棚124座，总建筑面积65700平方米;新建冷库1座，建筑面积600平方米;新建泵房3座，总建筑面积105平方米;新建配电室1座，建筑面积100平方米;新建公共厕所2座，总建筑面积33.02平方米。同步配套建设蓄水设施，分别新建1500立方米、800立方米、8立方米蓄水池各1处。</w:t>
      </w:r>
    </w:p>
    <w:p w14:paraId="560E3408">
      <w:pPr>
        <w:bidi w:val="0"/>
        <w:rPr>
          <w:rFonts w:hint="default"/>
          <w:color w:val="auto"/>
          <w:lang w:val="en-US" w:eastAsia="zh-CN"/>
        </w:rPr>
      </w:pPr>
      <w:r>
        <w:rPr>
          <w:rFonts w:hint="eastAsia"/>
          <w:color w:val="auto"/>
          <w:lang w:val="en-US" w:eastAsia="zh-CN"/>
        </w:rPr>
        <w:t>基地配套实施基础设施改造建设，完成砂化道路硬化21320平方米;修建各类排水渠共计2109米，其中0.6米成品U型排水渠1128米、0.9米梯形排水渠761米、1.2米梯形排水渠210米;配套建设消力池4处、混凝土行车盖板876米。同时，统一完善项目结构、给排水、电气等全套生产配套附属设施，保障项目整体功能完整、运行规范。（</w:t>
      </w:r>
      <w:r>
        <w:rPr>
          <w:color w:val="auto"/>
        </w:rPr>
        <w:t>具体内容详见</w:t>
      </w:r>
      <w:r>
        <w:rPr>
          <w:rFonts w:hint="eastAsia"/>
          <w:color w:val="auto"/>
          <w:lang w:val="en-US" w:eastAsia="zh-CN"/>
        </w:rPr>
        <w:t>实施方案</w:t>
      </w:r>
      <w:r>
        <w:rPr>
          <w:color w:val="auto"/>
        </w:rPr>
        <w:t>及工程量清单</w:t>
      </w:r>
      <w:r>
        <w:rPr>
          <w:rFonts w:hint="eastAsia"/>
          <w:color w:val="auto"/>
          <w:lang w:val="en-US" w:eastAsia="zh-CN"/>
        </w:rPr>
        <w:t>）</w:t>
      </w:r>
      <w:r>
        <w:rPr>
          <w:rFonts w:hint="default"/>
          <w:color w:val="auto"/>
          <w:lang w:val="en-US" w:eastAsia="zh-CN"/>
        </w:rPr>
        <w:t xml:space="preserve">   </w:t>
      </w:r>
    </w:p>
    <w:p w14:paraId="1D0424D2">
      <w:pPr>
        <w:keepNext/>
        <w:keepLines w:val="0"/>
        <w:pageBreakBefore w:val="0"/>
        <w:widowControl w:val="0"/>
        <w:numPr>
          <w:ilvl w:val="0"/>
          <w:numId w:val="1"/>
        </w:numPr>
        <w:kinsoku/>
        <w:wordWrap w:val="0"/>
        <w:overflowPunct/>
        <w:topLinePunct w:val="0"/>
        <w:autoSpaceDE/>
        <w:autoSpaceDN/>
        <w:bidi w:val="0"/>
        <w:adjustRightInd/>
        <w:snapToGrid/>
        <w:spacing w:line="480" w:lineRule="exact"/>
        <w:textAlignment w:val="auto"/>
        <w:rPr>
          <w:rFonts w:hint="eastAsia"/>
          <w:color w:val="auto"/>
          <w:lang w:val="en-US" w:eastAsia="zh-CN"/>
        </w:rPr>
      </w:pPr>
      <w:r>
        <w:rPr>
          <w:rFonts w:hint="default"/>
          <w:color w:val="auto"/>
          <w:lang w:val="en-US" w:eastAsia="zh-CN"/>
        </w:rPr>
        <w:t>计划工期：</w:t>
      </w:r>
      <w:r>
        <w:rPr>
          <w:rFonts w:hint="eastAsia"/>
          <w:color w:val="auto"/>
          <w:lang w:val="en-US" w:eastAsia="zh-CN"/>
        </w:rPr>
        <w:t>442</w:t>
      </w:r>
      <w:r>
        <w:rPr>
          <w:rFonts w:hint="default"/>
          <w:color w:val="auto"/>
          <w:lang w:val="en-US" w:eastAsia="zh-CN"/>
        </w:rPr>
        <w:t>日历天</w:t>
      </w:r>
      <w:r>
        <w:rPr>
          <w:rFonts w:hint="eastAsia"/>
          <w:color w:val="auto"/>
          <w:lang w:val="en-US" w:eastAsia="zh-CN"/>
        </w:rPr>
        <w:t>（含冬休期）；</w:t>
      </w:r>
    </w:p>
    <w:p w14:paraId="1F411FF3">
      <w:pPr>
        <w:keepNext/>
        <w:keepLines w:val="0"/>
        <w:pageBreakBefore w:val="0"/>
        <w:widowControl w:val="0"/>
        <w:numPr>
          <w:ilvl w:val="0"/>
          <w:numId w:val="1"/>
        </w:numPr>
        <w:kinsoku/>
        <w:wordWrap w:val="0"/>
        <w:overflowPunct/>
        <w:topLinePunct w:val="0"/>
        <w:autoSpaceDE/>
        <w:autoSpaceDN/>
        <w:bidi w:val="0"/>
        <w:adjustRightInd/>
        <w:snapToGrid/>
        <w:spacing w:line="480" w:lineRule="exact"/>
        <w:textAlignment w:val="auto"/>
        <w:rPr>
          <w:rFonts w:hint="default"/>
          <w:color w:val="auto"/>
          <w:lang w:val="en-US" w:eastAsia="zh-CN"/>
        </w:rPr>
      </w:pPr>
      <w:r>
        <w:rPr>
          <w:rFonts w:hint="default"/>
          <w:color w:val="auto"/>
          <w:lang w:val="en-US" w:eastAsia="zh-CN"/>
        </w:rPr>
        <w:t>开</w:t>
      </w:r>
      <w:r>
        <w:rPr>
          <w:rFonts w:hint="eastAsia"/>
          <w:color w:val="auto"/>
          <w:lang w:val="en-US" w:eastAsia="zh-CN"/>
        </w:rPr>
        <w:t>竣</w:t>
      </w:r>
      <w:r>
        <w:rPr>
          <w:rFonts w:hint="default"/>
          <w:color w:val="auto"/>
          <w:lang w:val="en-US" w:eastAsia="zh-CN"/>
        </w:rPr>
        <w:t>工日期：</w:t>
      </w:r>
      <w:r>
        <w:rPr>
          <w:rFonts w:hint="eastAsia"/>
          <w:color w:val="auto"/>
          <w:lang w:val="en-US" w:eastAsia="zh-CN"/>
        </w:rPr>
        <w:t>2026</w:t>
      </w:r>
      <w:r>
        <w:rPr>
          <w:rFonts w:hint="default"/>
          <w:color w:val="auto"/>
          <w:lang w:val="en-US" w:eastAsia="zh-CN"/>
        </w:rPr>
        <w:t>年</w:t>
      </w:r>
      <w:r>
        <w:rPr>
          <w:rFonts w:hint="eastAsia"/>
          <w:color w:val="auto"/>
          <w:lang w:val="en-US" w:eastAsia="zh-CN"/>
        </w:rPr>
        <w:t xml:space="preserve"> 10</w:t>
      </w:r>
      <w:r>
        <w:rPr>
          <w:rFonts w:hint="default"/>
          <w:color w:val="auto"/>
          <w:lang w:val="en-US" w:eastAsia="zh-CN"/>
        </w:rPr>
        <w:t>月</w:t>
      </w:r>
      <w:r>
        <w:rPr>
          <w:rFonts w:hint="eastAsia"/>
          <w:color w:val="auto"/>
          <w:lang w:val="en-US" w:eastAsia="zh-CN"/>
        </w:rPr>
        <w:t>15</w:t>
      </w:r>
      <w:r>
        <w:rPr>
          <w:rFonts w:hint="default"/>
          <w:color w:val="auto"/>
          <w:lang w:val="en-US" w:eastAsia="zh-CN"/>
        </w:rPr>
        <w:t>日</w:t>
      </w:r>
      <w:r>
        <w:rPr>
          <w:rFonts w:hint="eastAsia"/>
          <w:color w:val="auto"/>
          <w:lang w:val="en-US" w:eastAsia="zh-CN"/>
        </w:rPr>
        <w:t>— 2027年12月31日</w:t>
      </w:r>
    </w:p>
    <w:p w14:paraId="2C080CAA">
      <w:pPr>
        <w:bidi w:val="0"/>
        <w:rPr>
          <w:rFonts w:hint="default"/>
          <w:lang w:val="en-US" w:eastAsia="zh-CN"/>
        </w:rPr>
      </w:pPr>
      <w:r>
        <w:rPr>
          <w:rFonts w:hint="eastAsia"/>
          <w:color w:val="auto"/>
          <w:lang w:val="en-US" w:eastAsia="zh-CN"/>
        </w:rPr>
        <w:t>8、</w:t>
      </w:r>
      <w:r>
        <w:rPr>
          <w:rFonts w:hint="default"/>
          <w:color w:val="auto"/>
        </w:rPr>
        <w:t>标段划分：</w:t>
      </w:r>
      <w:r>
        <w:rPr>
          <w:rFonts w:hint="eastAsia"/>
          <w:color w:val="auto"/>
          <w:lang w:val="en-US" w:eastAsia="zh-CN"/>
        </w:rPr>
        <w:t>本项目划分为</w:t>
      </w:r>
      <w:r>
        <w:rPr>
          <w:rFonts w:hint="eastAsia"/>
          <w:lang w:val="en-US" w:eastAsia="zh-CN"/>
        </w:rPr>
        <w:t>1个标段。</w:t>
      </w:r>
      <w:r>
        <w:rPr>
          <w:rFonts w:hint="default"/>
          <w:lang w:val="en-US" w:eastAsia="zh-CN"/>
        </w:rPr>
        <w:t xml:space="preserve">   </w:t>
      </w:r>
    </w:p>
    <w:p w14:paraId="255C2A94">
      <w:pPr>
        <w:bidi w:val="0"/>
        <w:rPr>
          <w:rFonts w:hint="default"/>
        </w:rPr>
      </w:pPr>
      <w:r>
        <w:rPr>
          <w:rFonts w:hint="default"/>
        </w:rPr>
        <w:t>9、质量要求：工程质量要求符合《工程质量验收规范》合格标准。</w:t>
      </w:r>
    </w:p>
    <w:p w14:paraId="358DDE93">
      <w:pPr>
        <w:bidi w:val="0"/>
        <w:rPr>
          <w:rFonts w:hint="default"/>
        </w:rPr>
      </w:pPr>
      <w:r>
        <w:rPr>
          <w:rFonts w:hint="default"/>
        </w:rPr>
        <w:t>10、资格审查方式：资格预审</w:t>
      </w:r>
    </w:p>
    <w:p w14:paraId="41D21092">
      <w:pPr>
        <w:bidi w:val="0"/>
        <w:rPr>
          <w:rFonts w:hint="default"/>
          <w:b/>
          <w:bCs/>
        </w:rPr>
      </w:pPr>
      <w:r>
        <w:rPr>
          <w:rFonts w:hint="default"/>
          <w:b/>
          <w:bCs/>
        </w:rPr>
        <w:t>二、申请人资格要求：</w:t>
      </w:r>
    </w:p>
    <w:p w14:paraId="61156CD8">
      <w:pPr>
        <w:keepNext/>
        <w:keepLines w:val="0"/>
        <w:pageBreakBefore w:val="0"/>
        <w:widowControl w:val="0"/>
        <w:kinsoku/>
        <w:wordWrap w:val="0"/>
        <w:overflowPunct/>
        <w:topLinePunct w:val="0"/>
        <w:autoSpaceDE/>
        <w:autoSpaceDN/>
        <w:bidi w:val="0"/>
        <w:adjustRightInd/>
        <w:snapToGrid/>
        <w:spacing w:line="480" w:lineRule="exact"/>
        <w:textAlignment w:val="auto"/>
        <w:rPr>
          <w:rFonts w:hint="default"/>
          <w:color w:val="auto"/>
          <w:lang w:val="en-US" w:eastAsia="zh-CN"/>
        </w:rPr>
      </w:pPr>
      <w:r>
        <w:rPr>
          <w:rFonts w:hint="default"/>
        </w:rPr>
        <w:t>1、申请人须具有独立的法人资格，</w:t>
      </w:r>
      <w:r>
        <w:rPr>
          <w:rFonts w:hint="eastAsia"/>
          <w:lang w:val="en-US" w:eastAsia="zh-CN"/>
        </w:rPr>
        <w:t>具备建设行政主管部门颁发的建筑工程施工总承包贰级（含贰级）及以上资质的施工企业</w:t>
      </w:r>
      <w:r>
        <w:rPr>
          <w:rFonts w:hint="default"/>
          <w:color w:val="auto"/>
          <w:lang w:val="en-US" w:eastAsia="zh-CN"/>
        </w:rPr>
        <w:t>，具有有效的安全生产许可证。</w:t>
      </w:r>
    </w:p>
    <w:p w14:paraId="2BDABE9D">
      <w:pPr>
        <w:keepNext/>
        <w:keepLines w:val="0"/>
        <w:pageBreakBefore w:val="0"/>
        <w:widowControl w:val="0"/>
        <w:kinsoku/>
        <w:wordWrap w:val="0"/>
        <w:overflowPunct/>
        <w:topLinePunct w:val="0"/>
        <w:autoSpaceDE/>
        <w:autoSpaceDN/>
        <w:bidi w:val="0"/>
        <w:adjustRightInd/>
        <w:snapToGrid/>
        <w:spacing w:line="480" w:lineRule="exact"/>
        <w:textAlignment w:val="auto"/>
        <w:rPr>
          <w:rFonts w:hint="default"/>
        </w:rPr>
      </w:pPr>
      <w:r>
        <w:rPr>
          <w:rFonts w:hint="default"/>
          <w:lang w:val="en-US" w:eastAsia="zh-CN"/>
        </w:rPr>
        <w:t>2、拟派项目负责人（即项目经理）须</w:t>
      </w:r>
      <w:r>
        <w:rPr>
          <w:rFonts w:hint="default" w:ascii="Times New Roman" w:hAnsi="Times New Roman"/>
          <w:lang w:val="en-US" w:eastAsia="zh-CN"/>
        </w:rPr>
        <w:t>具有建筑工程专业贰级（含贰级）及以上注</w:t>
      </w:r>
      <w:r>
        <w:rPr>
          <w:rFonts w:hint="default"/>
          <w:lang w:val="en-US" w:eastAsia="zh-CN"/>
        </w:rPr>
        <w:t>册建造师执业资格和有效的安全生产考核合格证书</w:t>
      </w:r>
      <w:r>
        <w:rPr>
          <w:rFonts w:hint="eastAsia"/>
          <w:lang w:val="en-US" w:eastAsia="zh-CN"/>
        </w:rPr>
        <w:t>；</w:t>
      </w:r>
      <w:r>
        <w:rPr>
          <w:rFonts w:hint="default"/>
          <w:lang w:val="en-US" w:eastAsia="zh-CN"/>
        </w:rPr>
        <w:t>技术负责人具有工程类中级及以上技术职称；安全生产负责人具有工程类中级及以上技术职称和有效的安全生产考核合格证书。</w:t>
      </w:r>
    </w:p>
    <w:p w14:paraId="219BDD7B">
      <w:pPr>
        <w:keepNext/>
        <w:keepLines w:val="0"/>
        <w:pageBreakBefore w:val="0"/>
        <w:widowControl w:val="0"/>
        <w:kinsoku/>
        <w:wordWrap w:val="0"/>
        <w:overflowPunct/>
        <w:topLinePunct w:val="0"/>
        <w:autoSpaceDE/>
        <w:autoSpaceDN/>
        <w:bidi w:val="0"/>
        <w:adjustRightInd/>
        <w:snapToGrid/>
        <w:spacing w:line="480" w:lineRule="exact"/>
        <w:textAlignment w:val="auto"/>
        <w:rPr>
          <w:rFonts w:hint="default"/>
        </w:rPr>
      </w:pPr>
      <w:r>
        <w:rPr>
          <w:rFonts w:hint="default"/>
        </w:rPr>
        <w:t>3、要求配备项目管理人员（项目负责人1人、技术质量负责人1人、安全生产负责人1人、施工员1人、质量员1人、安全员1人、</w:t>
      </w:r>
      <w:r>
        <w:rPr>
          <w:rFonts w:hint="default"/>
          <w:lang w:eastAsia="zh-CN"/>
        </w:rPr>
        <w:t>注册造价师</w:t>
      </w:r>
      <w:r>
        <w:rPr>
          <w:rFonts w:hint="default"/>
        </w:rPr>
        <w:t>1人、机械员1人、材料员1人、资料员1人）须持有效资格证或岗位证书，以上人员均为本单位在职人员，资格预审合格后不允许更换。（施工员、质量员须为</w:t>
      </w:r>
      <w:r>
        <w:rPr>
          <w:rFonts w:hint="default" w:ascii="Times New Roman" w:hAnsi="Times New Roman" w:cs="Times New Roman"/>
          <w:color w:val="auto"/>
          <w:sz w:val="24"/>
          <w:highlight w:val="none"/>
        </w:rPr>
        <w:t>建筑工程</w:t>
      </w:r>
      <w:r>
        <w:rPr>
          <w:rFonts w:hint="default"/>
        </w:rPr>
        <w:t>专业）</w:t>
      </w:r>
    </w:p>
    <w:p w14:paraId="1FF93A41">
      <w:pPr>
        <w:bidi w:val="0"/>
        <w:rPr>
          <w:rFonts w:hint="default"/>
        </w:rPr>
      </w:pPr>
      <w:r>
        <w:rPr>
          <w:rFonts w:hint="default"/>
        </w:rPr>
        <w:t>4、财务要求：财务状况良好。</w:t>
      </w:r>
    </w:p>
    <w:p w14:paraId="37375403">
      <w:pPr>
        <w:bidi w:val="0"/>
        <w:rPr>
          <w:rFonts w:hint="eastAsia"/>
          <w:lang w:val="en-US" w:eastAsia="zh-CN"/>
        </w:rPr>
      </w:pPr>
      <w:r>
        <w:rPr>
          <w:rFonts w:hint="eastAsia"/>
          <w:lang w:val="en-US" w:eastAsia="zh-CN"/>
        </w:rPr>
        <w:t>5、信誉要求：信誉状况良好。</w:t>
      </w:r>
    </w:p>
    <w:p w14:paraId="1EBDFA1C">
      <w:pPr>
        <w:bidi w:val="0"/>
        <w:rPr>
          <w:rFonts w:hint="default"/>
          <w:lang w:val="en-US" w:eastAsia="zh-CN"/>
        </w:rPr>
      </w:pPr>
      <w:r>
        <w:rPr>
          <w:rFonts w:hint="default"/>
          <w:lang w:val="en-US" w:eastAsia="zh-CN"/>
        </w:rPr>
        <w:t>6、申请人须提供未被列入</w:t>
      </w:r>
      <w:r>
        <w:rPr>
          <w:rFonts w:hint="eastAsia"/>
          <w:lang w:val="en-US" w:eastAsia="zh-CN"/>
        </w:rPr>
        <w:t>“</w:t>
      </w:r>
      <w:r>
        <w:rPr>
          <w:rFonts w:hint="default"/>
          <w:lang w:val="en-US" w:eastAsia="zh-CN"/>
        </w:rPr>
        <w:t>信用中国</w:t>
      </w:r>
      <w:r>
        <w:rPr>
          <w:rFonts w:hint="eastAsia"/>
          <w:lang w:val="en-US" w:eastAsia="zh-CN"/>
        </w:rPr>
        <w:t>”</w:t>
      </w:r>
      <w:r>
        <w:rPr>
          <w:rFonts w:hint="default"/>
          <w:lang w:val="en-US" w:eastAsia="zh-CN"/>
        </w:rPr>
        <w:t>网站</w:t>
      </w:r>
      <w:r>
        <w:rPr>
          <w:rFonts w:hint="eastAsia"/>
          <w:lang w:val="en-US" w:eastAsia="zh-CN"/>
        </w:rPr>
        <w:t>（</w:t>
      </w:r>
      <w:r>
        <w:rPr>
          <w:rFonts w:hint="default"/>
          <w:lang w:val="en-US" w:eastAsia="zh-CN"/>
        </w:rPr>
        <w:t>www.creditchina.g</w:t>
      </w:r>
      <w:r>
        <w:rPr>
          <w:rFonts w:hint="eastAsia"/>
          <w:lang w:val="en-US" w:eastAsia="zh-CN"/>
        </w:rPr>
        <w:t>o</w:t>
      </w:r>
      <w:r>
        <w:rPr>
          <w:rFonts w:hint="default"/>
          <w:lang w:val="en-US" w:eastAsia="zh-CN"/>
        </w:rPr>
        <w:t>v.cn</w:t>
      </w:r>
      <w:r>
        <w:rPr>
          <w:rFonts w:hint="eastAsia"/>
          <w:lang w:val="en-US" w:eastAsia="zh-CN"/>
        </w:rPr>
        <w:t>）</w:t>
      </w:r>
      <w:r>
        <w:rPr>
          <w:rFonts w:hint="default"/>
          <w:lang w:val="en-US" w:eastAsia="zh-CN"/>
        </w:rPr>
        <w:t>失信被执行人名单查询结果</w:t>
      </w:r>
      <w:r>
        <w:rPr>
          <w:rFonts w:hint="eastAsia"/>
          <w:lang w:val="en-US" w:eastAsia="zh-CN"/>
        </w:rPr>
        <w:t>（</w:t>
      </w:r>
      <w:r>
        <w:rPr>
          <w:rFonts w:hint="default"/>
          <w:lang w:val="en-US" w:eastAsia="zh-CN"/>
        </w:rPr>
        <w:t>以资格审查委员会查询结果为准</w:t>
      </w:r>
      <w:r>
        <w:rPr>
          <w:rFonts w:hint="eastAsia"/>
          <w:lang w:val="en-US" w:eastAsia="zh-CN"/>
        </w:rPr>
        <w:t>）</w:t>
      </w:r>
      <w:r>
        <w:rPr>
          <w:rFonts w:hint="default"/>
          <w:lang w:val="en-US" w:eastAsia="zh-CN"/>
        </w:rPr>
        <w:t>。</w:t>
      </w:r>
    </w:p>
    <w:p w14:paraId="6F48374F">
      <w:pPr>
        <w:keepNext/>
        <w:keepLines w:val="0"/>
        <w:pageBreakBefore w:val="0"/>
        <w:widowControl w:val="0"/>
        <w:kinsoku/>
        <w:wordWrap w:val="0"/>
        <w:overflowPunct/>
        <w:topLinePunct w:val="0"/>
        <w:autoSpaceDE/>
        <w:autoSpaceDN/>
        <w:bidi w:val="0"/>
        <w:adjustRightInd/>
        <w:snapToGrid/>
        <w:spacing w:line="460" w:lineRule="exact"/>
        <w:textAlignment w:val="auto"/>
        <w:rPr>
          <w:rFonts w:hint="default"/>
        </w:rPr>
      </w:pPr>
      <w:r>
        <w:rPr>
          <w:rFonts w:hint="eastAsia"/>
          <w:lang w:val="en-US" w:eastAsia="zh-CN"/>
        </w:rPr>
        <w:t>7</w:t>
      </w:r>
      <w:r>
        <w:rPr>
          <w:rFonts w:hint="default"/>
        </w:rPr>
        <w:t>、申请人按甘建建〔2015</w:t>
      </w:r>
      <w:r>
        <w:rPr>
          <w:rFonts w:hint="default"/>
          <w:lang w:val="en-US" w:eastAsia="zh-CN"/>
        </w:rPr>
        <w:t>〕</w:t>
      </w:r>
      <w:r>
        <w:rPr>
          <w:rFonts w:hint="default"/>
        </w:rPr>
        <w:t>436号文件规定，授权委托代理人应当为本项目负责人（即项目经理）。</w:t>
      </w:r>
    </w:p>
    <w:p w14:paraId="14FFF1AD">
      <w:pPr>
        <w:bidi w:val="0"/>
        <w:rPr>
          <w:rFonts w:hint="default"/>
        </w:rPr>
      </w:pPr>
      <w:r>
        <w:rPr>
          <w:rFonts w:hint="eastAsia"/>
          <w:lang w:val="en-US" w:eastAsia="zh-CN"/>
        </w:rPr>
        <w:t>8</w:t>
      </w:r>
      <w:r>
        <w:rPr>
          <w:rFonts w:hint="default"/>
        </w:rPr>
        <w:t>、本次招标不接受联合体资格预审申请。</w:t>
      </w:r>
    </w:p>
    <w:p w14:paraId="34CE071E">
      <w:pPr>
        <w:bidi w:val="0"/>
        <w:rPr>
          <w:rFonts w:hint="default"/>
        </w:rPr>
      </w:pPr>
      <w:r>
        <w:rPr>
          <w:rFonts w:hint="eastAsia"/>
          <w:lang w:val="en-US" w:eastAsia="zh-CN"/>
        </w:rPr>
        <w:t>9</w:t>
      </w:r>
      <w:r>
        <w:rPr>
          <w:rFonts w:hint="default"/>
        </w:rPr>
        <w:t>、从业单位和工作人员有违法违规失信行为或失信记录纳入信用评价管理体系的一律不得投标，有出现恶意拖欠农民工工资而引起投诉并被处罚的情况，以及其它未解决诉讼的，将按废标处理。</w:t>
      </w:r>
    </w:p>
    <w:p w14:paraId="4EC9FF12">
      <w:pPr>
        <w:bidi w:val="0"/>
        <w:rPr>
          <w:rFonts w:hint="default"/>
        </w:rPr>
      </w:pPr>
      <w:r>
        <w:rPr>
          <w:rFonts w:hint="eastAsia"/>
          <w:lang w:val="en-US" w:eastAsia="zh-CN"/>
        </w:rPr>
        <w:t>10、</w:t>
      </w:r>
      <w:r>
        <w:rPr>
          <w:rFonts w:hint="default"/>
        </w:rPr>
        <w:t>各申请人可就上述标段提出资格预审申请。</w:t>
      </w:r>
    </w:p>
    <w:p w14:paraId="7FB69BA6">
      <w:pPr>
        <w:bidi w:val="0"/>
        <w:rPr>
          <w:rFonts w:hint="default"/>
          <w:b/>
          <w:bCs/>
        </w:rPr>
      </w:pPr>
      <w:r>
        <w:rPr>
          <w:rFonts w:hint="default"/>
          <w:b/>
          <w:bCs/>
        </w:rPr>
        <w:t>三、资格审查方式：</w:t>
      </w:r>
    </w:p>
    <w:p w14:paraId="4AD7ED68">
      <w:pPr>
        <w:bidi w:val="0"/>
        <w:rPr>
          <w:rFonts w:hint="default"/>
        </w:rPr>
      </w:pPr>
      <w:r>
        <w:rPr>
          <w:rFonts w:hint="default"/>
        </w:rPr>
        <w:t>本次资格预审采用合格制</w:t>
      </w:r>
      <w:r>
        <w:rPr>
          <w:rFonts w:hint="eastAsia"/>
          <w:lang w:eastAsia="zh-CN"/>
        </w:rPr>
        <w:t>，</w:t>
      </w:r>
      <w:r>
        <w:rPr>
          <w:rFonts w:hint="default"/>
        </w:rPr>
        <w:t>申请人自行判断是否符合资格预审公告要求，并决定是否提出资格预审申请。资格审查的具体要求见资格预审文件，资格审查不合格的投标文件将按废标处理。</w:t>
      </w:r>
    </w:p>
    <w:p w14:paraId="32178E9D">
      <w:pPr>
        <w:bidi w:val="0"/>
        <w:rPr>
          <w:rFonts w:hint="default"/>
          <w:b/>
          <w:bCs/>
        </w:rPr>
      </w:pPr>
      <w:r>
        <w:rPr>
          <w:rFonts w:hint="eastAsia"/>
          <w:b/>
          <w:bCs/>
          <w:lang w:val="en-US" w:eastAsia="zh-CN"/>
        </w:rPr>
        <w:t>四、</w:t>
      </w:r>
      <w:r>
        <w:rPr>
          <w:rFonts w:hint="default"/>
          <w:b/>
          <w:bCs/>
        </w:rPr>
        <w:t>资格预审文件获取时间及方式：</w:t>
      </w:r>
    </w:p>
    <w:p w14:paraId="104F3654">
      <w:pPr>
        <w:bidi w:val="0"/>
        <w:ind w:left="480" w:leftChars="200" w:firstLine="0" w:firstLineChars="0"/>
        <w:rPr>
          <w:rFonts w:hint="default" w:ascii="Times New Roman" w:hAnsi="Times New Roman"/>
          <w:b w:val="0"/>
          <w:bCs w:val="0"/>
          <w:color w:val="auto"/>
          <w:lang w:val="en-US" w:eastAsia="zh-CN"/>
        </w:rPr>
      </w:pPr>
      <w:r>
        <w:rPr>
          <w:rFonts w:hint="default" w:ascii="Times New Roman" w:hAnsi="Times New Roman"/>
          <w:b w:val="0"/>
          <w:bCs w:val="0"/>
          <w:lang w:val="en-US" w:eastAsia="zh-CN"/>
        </w:rPr>
        <w:t>1</w:t>
      </w:r>
      <w:r>
        <w:rPr>
          <w:rFonts w:hint="eastAsia"/>
          <w:b w:val="0"/>
          <w:bCs w:val="0"/>
          <w:lang w:val="en-US" w:eastAsia="zh-CN"/>
        </w:rPr>
        <w:t>、</w:t>
      </w:r>
      <w:r>
        <w:rPr>
          <w:rFonts w:hint="default" w:ascii="Times New Roman" w:hAnsi="Times New Roman"/>
          <w:b w:val="0"/>
          <w:bCs w:val="0"/>
          <w:lang w:val="en-US" w:eastAsia="zh-CN"/>
        </w:rPr>
        <w:t>资格预审文件获取</w:t>
      </w:r>
      <w:r>
        <w:rPr>
          <w:rFonts w:hint="default" w:ascii="Times New Roman" w:hAnsi="Times New Roman"/>
          <w:b w:val="0"/>
          <w:bCs w:val="0"/>
          <w:color w:val="auto"/>
          <w:lang w:val="en-US" w:eastAsia="zh-CN"/>
        </w:rPr>
        <w:t>时间：</w:t>
      </w:r>
      <w:r>
        <w:rPr>
          <w:rFonts w:hint="eastAsia"/>
          <w:b w:val="0"/>
          <w:bCs w:val="0"/>
          <w:color w:val="auto"/>
          <w:lang w:val="en-US" w:eastAsia="zh-CN"/>
        </w:rPr>
        <w:t>2026</w:t>
      </w:r>
      <w:r>
        <w:rPr>
          <w:rFonts w:hint="default" w:ascii="Times New Roman" w:hAnsi="Times New Roman"/>
          <w:b w:val="0"/>
          <w:bCs w:val="0"/>
          <w:color w:val="auto"/>
          <w:lang w:val="en-US" w:eastAsia="zh-CN"/>
        </w:rPr>
        <w:t>年</w:t>
      </w:r>
      <w:r>
        <w:rPr>
          <w:rFonts w:hint="eastAsia"/>
          <w:b w:val="0"/>
          <w:bCs w:val="0"/>
          <w:color w:val="auto"/>
          <w:lang w:val="en-US" w:eastAsia="zh-CN"/>
        </w:rPr>
        <w:t>08</w:t>
      </w:r>
      <w:r>
        <w:rPr>
          <w:rFonts w:hint="default" w:ascii="Times New Roman" w:hAnsi="Times New Roman"/>
          <w:b w:val="0"/>
          <w:bCs w:val="0"/>
          <w:color w:val="auto"/>
          <w:lang w:val="en-US" w:eastAsia="zh-CN"/>
        </w:rPr>
        <w:t>月</w:t>
      </w:r>
      <w:r>
        <w:rPr>
          <w:rFonts w:hint="eastAsia"/>
          <w:b w:val="0"/>
          <w:bCs w:val="0"/>
          <w:color w:val="auto"/>
          <w:lang w:val="en-US" w:eastAsia="zh-CN"/>
        </w:rPr>
        <w:t>20</w:t>
      </w:r>
      <w:r>
        <w:rPr>
          <w:rFonts w:hint="default" w:ascii="Times New Roman" w:hAnsi="Times New Roman"/>
          <w:b w:val="0"/>
          <w:bCs w:val="0"/>
          <w:color w:val="auto"/>
          <w:lang w:val="en-US" w:eastAsia="zh-CN"/>
        </w:rPr>
        <w:t>日</w:t>
      </w:r>
      <w:r>
        <w:rPr>
          <w:rFonts w:hint="eastAsia"/>
          <w:color w:val="auto"/>
          <w:lang w:val="en-US" w:eastAsia="zh-CN"/>
        </w:rPr>
        <w:t>00</w:t>
      </w:r>
      <w:r>
        <w:rPr>
          <w:rFonts w:hint="default"/>
          <w:color w:val="auto"/>
          <w:lang w:val="en-US" w:eastAsia="zh-CN"/>
        </w:rPr>
        <w:t>时</w:t>
      </w:r>
      <w:r>
        <w:rPr>
          <w:rFonts w:hint="eastAsia"/>
          <w:color w:val="auto"/>
          <w:lang w:val="en-US" w:eastAsia="zh-CN"/>
        </w:rPr>
        <w:t>00</w:t>
      </w:r>
      <w:r>
        <w:rPr>
          <w:rFonts w:hint="default"/>
          <w:color w:val="auto"/>
          <w:lang w:val="en-US" w:eastAsia="zh-CN"/>
        </w:rPr>
        <w:t>分至</w:t>
      </w:r>
      <w:r>
        <w:rPr>
          <w:rFonts w:hint="eastAsia"/>
          <w:b w:val="0"/>
          <w:bCs w:val="0"/>
          <w:color w:val="auto"/>
          <w:lang w:val="en-US" w:eastAsia="zh-CN"/>
        </w:rPr>
        <w:t xml:space="preserve"> 2026</w:t>
      </w:r>
      <w:r>
        <w:rPr>
          <w:rFonts w:hint="default" w:ascii="Times New Roman" w:hAnsi="Times New Roman"/>
          <w:b w:val="0"/>
          <w:bCs w:val="0"/>
          <w:color w:val="auto"/>
          <w:lang w:val="en-US" w:eastAsia="zh-CN"/>
        </w:rPr>
        <w:t>年</w:t>
      </w:r>
      <w:r>
        <w:rPr>
          <w:rFonts w:hint="eastAsia"/>
          <w:b w:val="0"/>
          <w:bCs w:val="0"/>
          <w:color w:val="auto"/>
          <w:lang w:val="en-US" w:eastAsia="zh-CN"/>
        </w:rPr>
        <w:t xml:space="preserve">08 </w:t>
      </w:r>
      <w:r>
        <w:rPr>
          <w:rFonts w:hint="default" w:ascii="Times New Roman" w:hAnsi="Times New Roman"/>
          <w:b w:val="0"/>
          <w:bCs w:val="0"/>
          <w:color w:val="auto"/>
          <w:lang w:val="en-US" w:eastAsia="zh-CN"/>
        </w:rPr>
        <w:t>月</w:t>
      </w:r>
      <w:r>
        <w:rPr>
          <w:rFonts w:hint="eastAsia"/>
          <w:b w:val="0"/>
          <w:bCs w:val="0"/>
          <w:color w:val="auto"/>
          <w:lang w:val="en-US" w:eastAsia="zh-CN"/>
        </w:rPr>
        <w:t>24</w:t>
      </w:r>
      <w:r>
        <w:rPr>
          <w:rFonts w:hint="default" w:ascii="Times New Roman" w:hAnsi="Times New Roman"/>
          <w:b w:val="0"/>
          <w:bCs w:val="0"/>
          <w:color w:val="auto"/>
          <w:lang w:val="en-US" w:eastAsia="zh-CN"/>
        </w:rPr>
        <w:t>日</w:t>
      </w:r>
    </w:p>
    <w:p w14:paraId="6F4A6CC1">
      <w:pPr>
        <w:bidi w:val="0"/>
        <w:ind w:left="0" w:leftChars="0" w:firstLine="0" w:firstLineChars="0"/>
        <w:rPr>
          <w:rFonts w:hint="default" w:ascii="Times New Roman" w:hAnsi="Times New Roman"/>
          <w:b w:val="0"/>
          <w:bCs w:val="0"/>
          <w:color w:val="auto"/>
          <w:lang w:val="en-US" w:eastAsia="zh-CN"/>
        </w:rPr>
      </w:pPr>
      <w:r>
        <w:rPr>
          <w:rFonts w:hint="eastAsia"/>
          <w:color w:val="auto"/>
          <w:lang w:val="en-US" w:eastAsia="zh-CN"/>
        </w:rPr>
        <w:t>23</w:t>
      </w:r>
      <w:r>
        <w:rPr>
          <w:rFonts w:hint="default"/>
          <w:color w:val="auto"/>
          <w:lang w:val="en-US" w:eastAsia="zh-CN"/>
        </w:rPr>
        <w:t>时</w:t>
      </w:r>
      <w:r>
        <w:rPr>
          <w:rFonts w:hint="eastAsia"/>
          <w:color w:val="auto"/>
          <w:lang w:val="en-US" w:eastAsia="zh-CN"/>
        </w:rPr>
        <w:t>59分</w:t>
      </w:r>
      <w:r>
        <w:rPr>
          <w:rFonts w:hint="default" w:ascii="Times New Roman" w:hAnsi="Times New Roman"/>
          <w:b w:val="0"/>
          <w:bCs w:val="0"/>
          <w:color w:val="auto"/>
          <w:lang w:val="en-US" w:eastAsia="zh-CN"/>
        </w:rPr>
        <w:t xml:space="preserve">。（法定公休日、法定节假日不除外) </w:t>
      </w:r>
    </w:p>
    <w:p w14:paraId="4B552730">
      <w:pPr>
        <w:bidi w:val="0"/>
        <w:rPr>
          <w:rFonts w:hint="default" w:ascii="Times New Roman" w:hAnsi="Times New Roman"/>
          <w:b w:val="0"/>
          <w:bCs w:val="0"/>
          <w:lang w:val="en-US" w:eastAsia="zh-CN"/>
        </w:rPr>
      </w:pPr>
      <w:r>
        <w:rPr>
          <w:rFonts w:hint="default" w:ascii="Times New Roman" w:hAnsi="Times New Roman"/>
          <w:b w:val="0"/>
          <w:bCs w:val="0"/>
          <w:color w:val="auto"/>
          <w:lang w:val="en-US" w:eastAsia="zh-CN"/>
        </w:rPr>
        <w:t>2</w:t>
      </w:r>
      <w:r>
        <w:rPr>
          <w:rFonts w:hint="eastAsia"/>
          <w:b w:val="0"/>
          <w:bCs w:val="0"/>
          <w:color w:val="auto"/>
          <w:lang w:val="en-US" w:eastAsia="zh-CN"/>
        </w:rPr>
        <w:t>、</w:t>
      </w:r>
      <w:r>
        <w:rPr>
          <w:rFonts w:hint="default" w:ascii="Times New Roman" w:hAnsi="Times New Roman"/>
          <w:b w:val="0"/>
          <w:bCs w:val="0"/>
          <w:color w:val="auto"/>
          <w:lang w:val="en-US" w:eastAsia="zh-CN"/>
        </w:rPr>
        <w:t>资格预审文件获取</w:t>
      </w:r>
      <w:r>
        <w:rPr>
          <w:rFonts w:hint="default" w:ascii="Times New Roman" w:hAnsi="Times New Roman"/>
          <w:b w:val="0"/>
          <w:bCs w:val="0"/>
          <w:lang w:val="en-US" w:eastAsia="zh-CN"/>
        </w:rPr>
        <w:t>方式：登陆临夏州公共资源交易网（http：//ggzyjy.linxia.gov.cn），在应用系统中进入“甘肃省公共资源交易电子服务系统-临夏州”选择用“账号登录”或者“数字证书登录”后点击最左侧的“我要投标”，选择对应项目资格预审公告，免费下载资格预审文件。</w:t>
      </w:r>
    </w:p>
    <w:p w14:paraId="0F325042">
      <w:pPr>
        <w:bidi w:val="0"/>
        <w:rPr>
          <w:rFonts w:hint="default" w:ascii="Times New Roman" w:hAnsi="Times New Roman"/>
          <w:b/>
          <w:bCs/>
          <w:lang w:val="en-US" w:eastAsia="zh-CN"/>
        </w:rPr>
      </w:pPr>
      <w:r>
        <w:rPr>
          <w:rFonts w:hint="default" w:ascii="Times New Roman" w:hAnsi="Times New Roman"/>
          <w:b/>
          <w:bCs/>
          <w:lang w:val="en-US" w:eastAsia="zh-CN"/>
        </w:rPr>
        <w:t>五、资格预审申请文件的递交：</w:t>
      </w:r>
    </w:p>
    <w:p w14:paraId="5B32D316">
      <w:pPr>
        <w:bidi w:val="0"/>
        <w:rPr>
          <w:rFonts w:hint="default" w:ascii="Times New Roman" w:hAnsi="Times New Roman"/>
          <w:b w:val="0"/>
          <w:bCs w:val="0"/>
          <w:lang w:val="en-US" w:eastAsia="zh-CN"/>
        </w:rPr>
      </w:pPr>
      <w:r>
        <w:rPr>
          <w:rFonts w:hint="default" w:ascii="Times New Roman" w:hAnsi="Times New Roman"/>
          <w:b w:val="0"/>
          <w:bCs w:val="0"/>
          <w:lang w:val="en-US" w:eastAsia="zh-CN"/>
        </w:rPr>
        <w:t>1.投标文件制作工具下载：本次开标采用交易通电子开标系统进行开标工作。投标人进入官网 www.ejiaoyi.vip→进入下载中心→下载</w:t>
      </w:r>
      <w:r>
        <w:rPr>
          <w:rFonts w:hint="eastAsia"/>
          <w:b w:val="0"/>
          <w:bCs w:val="0"/>
          <w:lang w:val="en-US" w:eastAsia="zh-CN"/>
        </w:rPr>
        <w:t>综合电子标</w:t>
      </w:r>
      <w:r>
        <w:rPr>
          <w:rFonts w:hint="default" w:ascii="Times New Roman" w:hAnsi="Times New Roman"/>
          <w:b w:val="0"/>
          <w:bCs w:val="0"/>
          <w:lang w:val="en-US" w:eastAsia="zh-CN"/>
        </w:rPr>
        <w:t>投标文件制作工具→安装更新到最新版登录后即可制作投标文件（注：安装前退掉360等杀毒软件，使用最新版本的投标文件制作工具，打开后若有更新提示，则选择更新），非交易通的锁请选择互认CA登录，登录时若提示“该锁无权限”，则进入交易通数字证书在线服务网：http</w:t>
      </w:r>
      <w:r>
        <w:rPr>
          <w:rFonts w:hint="eastAsia"/>
          <w:b w:val="0"/>
          <w:bCs w:val="0"/>
          <w:lang w:val="en-US" w:eastAsia="zh-CN"/>
        </w:rPr>
        <w:t>：</w:t>
      </w:r>
      <w:r>
        <w:rPr>
          <w:rFonts w:hint="default" w:ascii="Times New Roman" w:hAnsi="Times New Roman"/>
          <w:b w:val="0"/>
          <w:bCs w:val="0"/>
          <w:lang w:val="en-US" w:eastAsia="zh-CN"/>
        </w:rPr>
        <w:t>//www.ejiaoyi.vip/web/company/login.html →主体帐号登录（电话号码）→招投标权限绑定。</w:t>
      </w:r>
    </w:p>
    <w:p w14:paraId="239B29C3">
      <w:pPr>
        <w:bidi w:val="0"/>
        <w:rPr>
          <w:rFonts w:hint="default" w:ascii="Times New Roman" w:hAnsi="Times New Roman"/>
          <w:b w:val="0"/>
          <w:bCs w:val="0"/>
          <w:lang w:val="en-US" w:eastAsia="zh-CN"/>
        </w:rPr>
      </w:pPr>
      <w:r>
        <w:rPr>
          <w:rFonts w:hint="default" w:ascii="Times New Roman" w:hAnsi="Times New Roman"/>
          <w:b w:val="0"/>
          <w:bCs w:val="0"/>
          <w:lang w:val="en-US" w:eastAsia="zh-CN"/>
        </w:rPr>
        <w:t>2</w:t>
      </w:r>
      <w:r>
        <w:rPr>
          <w:rFonts w:hint="eastAsia" w:ascii="Times New Roman" w:hAnsi="Times New Roman"/>
          <w:b w:val="0"/>
          <w:bCs w:val="0"/>
          <w:lang w:val="en-US" w:eastAsia="zh-CN"/>
        </w:rPr>
        <w:t>、</w:t>
      </w:r>
      <w:r>
        <w:rPr>
          <w:rFonts w:hint="default" w:ascii="Times New Roman" w:hAnsi="Times New Roman"/>
          <w:b w:val="0"/>
          <w:bCs w:val="0"/>
          <w:lang w:val="en-US" w:eastAsia="zh-CN"/>
        </w:rPr>
        <w:t>申请文件递交的截止时间为</w:t>
      </w:r>
      <w:r>
        <w:rPr>
          <w:rFonts w:hint="eastAsia" w:ascii="Times New Roman" w:hAnsi="Times New Roman"/>
          <w:b w:val="0"/>
          <w:bCs w:val="0"/>
          <w:lang w:val="en-US" w:eastAsia="zh-CN"/>
        </w:rPr>
        <w:t>：</w:t>
      </w:r>
      <w:r>
        <w:rPr>
          <w:rFonts w:hint="eastAsia"/>
          <w:b w:val="0"/>
          <w:bCs w:val="0"/>
          <w:lang w:val="en-US" w:eastAsia="zh-CN"/>
        </w:rPr>
        <w:t>2026</w:t>
      </w:r>
      <w:r>
        <w:rPr>
          <w:rFonts w:hint="eastAsia" w:ascii="Times New Roman" w:hAnsi="Times New Roman"/>
          <w:b w:val="0"/>
          <w:bCs w:val="0"/>
          <w:lang w:val="en-US" w:eastAsia="zh-CN"/>
        </w:rPr>
        <w:t>年</w:t>
      </w:r>
      <w:r>
        <w:rPr>
          <w:rFonts w:hint="eastAsia"/>
          <w:b w:val="0"/>
          <w:bCs w:val="0"/>
          <w:lang w:val="en-US" w:eastAsia="zh-CN"/>
        </w:rPr>
        <w:t>09</w:t>
      </w:r>
      <w:r>
        <w:rPr>
          <w:rFonts w:hint="eastAsia" w:ascii="Times New Roman" w:hAnsi="Times New Roman"/>
          <w:b w:val="0"/>
          <w:bCs w:val="0"/>
          <w:lang w:val="en-US" w:eastAsia="zh-CN"/>
        </w:rPr>
        <w:t>月</w:t>
      </w:r>
      <w:r>
        <w:rPr>
          <w:rFonts w:hint="eastAsia"/>
          <w:b w:val="0"/>
          <w:bCs w:val="0"/>
          <w:lang w:val="en-US" w:eastAsia="zh-CN"/>
        </w:rPr>
        <w:t>02</w:t>
      </w:r>
      <w:r>
        <w:rPr>
          <w:rFonts w:hint="eastAsia" w:ascii="Times New Roman" w:hAnsi="Times New Roman"/>
          <w:b w:val="0"/>
          <w:bCs w:val="0"/>
          <w:lang w:val="en-US" w:eastAsia="zh-CN"/>
        </w:rPr>
        <w:t>日</w:t>
      </w:r>
      <w:r>
        <w:rPr>
          <w:rFonts w:hint="eastAsia"/>
          <w:b w:val="0"/>
          <w:bCs w:val="0"/>
          <w:lang w:val="en-US" w:eastAsia="zh-CN"/>
        </w:rPr>
        <w:t>09</w:t>
      </w:r>
      <w:r>
        <w:rPr>
          <w:rFonts w:hint="eastAsia" w:ascii="Times New Roman" w:hAnsi="Times New Roman"/>
          <w:b w:val="0"/>
          <w:bCs w:val="0"/>
          <w:lang w:val="en-US" w:eastAsia="zh-CN"/>
        </w:rPr>
        <w:t>时</w:t>
      </w:r>
      <w:r>
        <w:rPr>
          <w:rFonts w:hint="eastAsia"/>
          <w:b w:val="0"/>
          <w:bCs w:val="0"/>
          <w:lang w:val="en-US" w:eastAsia="zh-CN"/>
        </w:rPr>
        <w:t>00</w:t>
      </w:r>
      <w:r>
        <w:rPr>
          <w:rFonts w:hint="eastAsia" w:ascii="Times New Roman" w:hAnsi="Times New Roman"/>
          <w:b w:val="0"/>
          <w:bCs w:val="0"/>
          <w:lang w:val="en-US" w:eastAsia="zh-CN"/>
        </w:rPr>
        <w:t>分</w:t>
      </w:r>
      <w:r>
        <w:rPr>
          <w:rFonts w:hint="default" w:ascii="Times New Roman" w:hAnsi="Times New Roman"/>
          <w:b w:val="0"/>
          <w:bCs w:val="0"/>
          <w:lang w:val="en-US" w:eastAsia="zh-CN"/>
        </w:rPr>
        <w:t>（北京时间）；</w:t>
      </w:r>
    </w:p>
    <w:p w14:paraId="446D4B8D">
      <w:pPr>
        <w:bidi w:val="0"/>
        <w:rPr>
          <w:rFonts w:hint="default" w:ascii="Times New Roman" w:hAnsi="Times New Roman"/>
          <w:b w:val="0"/>
          <w:bCs w:val="0"/>
          <w:lang w:val="en-US" w:eastAsia="zh-CN"/>
        </w:rPr>
      </w:pPr>
      <w:r>
        <w:rPr>
          <w:rFonts w:hint="default" w:ascii="Times New Roman" w:hAnsi="Times New Roman"/>
          <w:b w:val="0"/>
          <w:bCs w:val="0"/>
          <w:lang w:val="en-US" w:eastAsia="zh-CN"/>
        </w:rPr>
        <w:t>3</w:t>
      </w:r>
      <w:r>
        <w:rPr>
          <w:rFonts w:hint="eastAsia" w:ascii="Times New Roman" w:hAnsi="Times New Roman"/>
          <w:b w:val="0"/>
          <w:bCs w:val="0"/>
          <w:lang w:val="en-US" w:eastAsia="zh-CN"/>
        </w:rPr>
        <w:t>、</w:t>
      </w:r>
      <w:r>
        <w:rPr>
          <w:rFonts w:hint="default" w:ascii="Times New Roman" w:hAnsi="Times New Roman"/>
          <w:b w:val="0"/>
          <w:bCs w:val="0"/>
          <w:lang w:val="en-US" w:eastAsia="zh-CN"/>
        </w:rPr>
        <w:t>投标文件递交方式、签到方法及开标注意事项。</w:t>
      </w:r>
    </w:p>
    <w:p w14:paraId="6C5383A0">
      <w:pPr>
        <w:bidi w:val="0"/>
        <w:rPr>
          <w:rFonts w:hint="default" w:ascii="Times New Roman" w:hAnsi="Times New Roman"/>
          <w:b w:val="0"/>
          <w:bCs w:val="0"/>
          <w:color w:val="0000FF"/>
          <w:lang w:val="en-US" w:eastAsia="zh-CN"/>
        </w:rPr>
      </w:pPr>
      <w:r>
        <w:rPr>
          <w:rFonts w:hint="default" w:ascii="Times New Roman" w:hAnsi="Times New Roman"/>
          <w:b w:val="0"/>
          <w:bCs w:val="0"/>
          <w:lang w:val="en-US" w:eastAsia="zh-CN"/>
        </w:rPr>
        <w:t>3.1投标文件递交方式：投标人进入临夏州公共资源交易中心官网（网址</w:t>
      </w:r>
      <w:r>
        <w:rPr>
          <w:rFonts w:hint="eastAsia"/>
          <w:b w:val="0"/>
          <w:bCs w:val="0"/>
          <w:lang w:val="en-US" w:eastAsia="zh-CN"/>
        </w:rPr>
        <w:t>：</w:t>
      </w:r>
      <w:r>
        <w:rPr>
          <w:rFonts w:hint="default" w:ascii="Times New Roman" w:hAnsi="Times New Roman"/>
          <w:b w:val="0"/>
          <w:bCs w:val="0"/>
          <w:lang w:val="en-US" w:eastAsia="zh-CN"/>
        </w:rPr>
        <w:t>http</w:t>
      </w:r>
      <w:r>
        <w:rPr>
          <w:rFonts w:hint="eastAsia"/>
          <w:b w:val="0"/>
          <w:bCs w:val="0"/>
          <w:lang w:val="en-US" w:eastAsia="zh-CN"/>
        </w:rPr>
        <w:t>：</w:t>
      </w:r>
      <w:r>
        <w:rPr>
          <w:rFonts w:hint="default" w:ascii="Times New Roman" w:hAnsi="Times New Roman"/>
          <w:b w:val="0"/>
          <w:bCs w:val="0"/>
          <w:lang w:val="en-US" w:eastAsia="zh-CN"/>
        </w:rPr>
        <w:t>//ggzyjy.linxia.gov.cn推荐使用360安全浏览器极速模式）→选择网上开评标系统→选择交易通网上开评标系统→选择不见面投标→前往登陆→用主体账号或CA登录→</w:t>
      </w:r>
      <w:r>
        <w:rPr>
          <w:rFonts w:hint="eastAsia" w:ascii="Times New Roman" w:hAnsi="Times New Roman"/>
          <w:b w:val="0"/>
          <w:bCs w:val="0"/>
          <w:lang w:val="en-US" w:eastAsia="zh-CN"/>
        </w:rPr>
        <w:t>综合电子标</w:t>
      </w:r>
      <w:r>
        <w:rPr>
          <w:rFonts w:hint="default" w:ascii="Times New Roman" w:hAnsi="Times New Roman"/>
          <w:b w:val="0"/>
          <w:bCs w:val="0"/>
          <w:lang w:val="en-US" w:eastAsia="zh-CN"/>
        </w:rPr>
        <w:t>→项目管理→对应项目→我要参标→分别上传ngef、sngef、czr格式的投标文件。（或者直接进入此网址上传：http</w:t>
      </w:r>
      <w:r>
        <w:rPr>
          <w:rFonts w:hint="eastAsia"/>
          <w:b w:val="0"/>
          <w:bCs w:val="0"/>
          <w:lang w:val="en-US" w:eastAsia="zh-CN"/>
        </w:rPr>
        <w:t>：</w:t>
      </w:r>
      <w:r>
        <w:rPr>
          <w:rFonts w:hint="default" w:ascii="Times New Roman" w:hAnsi="Times New Roman"/>
          <w:b w:val="0"/>
          <w:bCs w:val="0"/>
          <w:lang w:val="en-US" w:eastAsia="zh-CN"/>
        </w:rPr>
        <w:t>//bid.ejiaoyi.vip</w:t>
      </w:r>
      <w:r>
        <w:rPr>
          <w:rFonts w:hint="eastAsia"/>
          <w:b w:val="0"/>
          <w:bCs w:val="0"/>
          <w:lang w:val="en-US" w:eastAsia="zh-CN"/>
        </w:rPr>
        <w:t>：</w:t>
      </w:r>
      <w:r>
        <w:rPr>
          <w:rFonts w:hint="default" w:ascii="Times New Roman" w:hAnsi="Times New Roman"/>
          <w:b w:val="0"/>
          <w:bCs w:val="0"/>
          <w:lang w:val="en-US" w:eastAsia="zh-CN"/>
        </w:rPr>
        <w:t>17000/bidder-login推荐使用360安全浏览器极速模式），投标文件递交截止时间未上传的或者未上传指定网址的投标文件，招标人不予受理。在投标文件递交截止时间前如需更换投标文件，可点击重新上传，以最后一次上传的投标文件为准。</w:t>
      </w:r>
    </w:p>
    <w:p w14:paraId="2EC39100">
      <w:pPr>
        <w:bidi w:val="0"/>
        <w:rPr>
          <w:rFonts w:hint="default" w:ascii="Times New Roman" w:hAnsi="Times New Roman"/>
          <w:b w:val="0"/>
          <w:bCs w:val="0"/>
          <w:lang w:val="en-US" w:eastAsia="zh-CN"/>
        </w:rPr>
      </w:pPr>
      <w:r>
        <w:rPr>
          <w:rFonts w:hint="default" w:ascii="Times New Roman" w:hAnsi="Times New Roman"/>
          <w:b w:val="0"/>
          <w:bCs w:val="0"/>
          <w:lang w:val="en-US" w:eastAsia="zh-CN"/>
        </w:rPr>
        <w:t>3.2 签到：投标文件上传完成后点击签到，在弹出的页面输入签到人相关个人信息，确认后支付宝扫码进行人脸识别，微信用户扫码后拍摄人脸视频后上传即可完成人脸识别，特殊情况在开标前半小时内上传投标人手持身份证照片即可完成签到。</w:t>
      </w:r>
    </w:p>
    <w:p w14:paraId="54ECB53A">
      <w:pPr>
        <w:bidi w:val="0"/>
        <w:rPr>
          <w:rFonts w:hint="default" w:ascii="Times New Roman" w:hAnsi="Times New Roman"/>
          <w:b w:val="0"/>
          <w:bCs w:val="0"/>
          <w:lang w:val="en-US" w:eastAsia="zh-CN"/>
        </w:rPr>
      </w:pPr>
      <w:r>
        <w:rPr>
          <w:rFonts w:hint="default" w:ascii="Times New Roman" w:hAnsi="Times New Roman"/>
          <w:b w:val="0"/>
          <w:bCs w:val="0"/>
          <w:lang w:val="en-US" w:eastAsia="zh-CN"/>
        </w:rPr>
        <w:t>3.3</w:t>
      </w:r>
      <w:r>
        <w:rPr>
          <w:rFonts w:hint="eastAsia" w:ascii="Times New Roman" w:hAnsi="Times New Roman"/>
          <w:b w:val="0"/>
          <w:bCs w:val="0"/>
          <w:lang w:val="en-US" w:eastAsia="zh-CN"/>
        </w:rPr>
        <w:t xml:space="preserve"> </w:t>
      </w:r>
      <w:r>
        <w:rPr>
          <w:rFonts w:hint="default" w:ascii="Times New Roman" w:hAnsi="Times New Roman"/>
          <w:b w:val="0"/>
          <w:bCs w:val="0"/>
          <w:lang w:val="en-US" w:eastAsia="zh-CN"/>
        </w:rPr>
        <w:t>开标：投标人进入交易通临夏州电子开评标系统（网址</w:t>
      </w:r>
      <w:r>
        <w:rPr>
          <w:rFonts w:hint="eastAsia"/>
          <w:b w:val="0"/>
          <w:bCs w:val="0"/>
          <w:lang w:val="en-US" w:eastAsia="zh-CN"/>
        </w:rPr>
        <w:t>：</w:t>
      </w:r>
      <w:r>
        <w:rPr>
          <w:rFonts w:hint="default" w:ascii="Times New Roman" w:hAnsi="Times New Roman"/>
          <w:b w:val="0"/>
          <w:bCs w:val="0"/>
          <w:lang w:val="en-US" w:eastAsia="zh-CN"/>
        </w:rPr>
        <w:t>http</w:t>
      </w:r>
      <w:r>
        <w:rPr>
          <w:rFonts w:hint="eastAsia"/>
          <w:b w:val="0"/>
          <w:bCs w:val="0"/>
          <w:lang w:val="en-US" w:eastAsia="zh-CN"/>
        </w:rPr>
        <w:t>：</w:t>
      </w:r>
      <w:r>
        <w:rPr>
          <w:rFonts w:hint="default" w:ascii="Times New Roman" w:hAnsi="Times New Roman"/>
          <w:b w:val="0"/>
          <w:bCs w:val="0"/>
          <w:lang w:val="en-US" w:eastAsia="zh-CN"/>
        </w:rPr>
        <w:t>//bid.ejiaoyi.vip</w:t>
      </w:r>
      <w:r>
        <w:rPr>
          <w:rFonts w:hint="eastAsia"/>
          <w:b w:val="0"/>
          <w:bCs w:val="0"/>
          <w:lang w:val="en-US" w:eastAsia="zh-CN"/>
        </w:rPr>
        <w:t>：</w:t>
      </w:r>
      <w:r>
        <w:rPr>
          <w:rFonts w:hint="default" w:ascii="Times New Roman" w:hAnsi="Times New Roman"/>
          <w:b w:val="0"/>
          <w:bCs w:val="0"/>
          <w:lang w:val="en-US" w:eastAsia="zh-CN"/>
        </w:rPr>
        <w:t>17000/bidder-login推荐使用360安全浏览器极速模式）→主体账号或CA登录→</w:t>
      </w:r>
      <w:r>
        <w:rPr>
          <w:rFonts w:hint="eastAsia" w:ascii="Times New Roman" w:hAnsi="Times New Roman"/>
          <w:b w:val="0"/>
          <w:bCs w:val="0"/>
          <w:lang w:val="en-US" w:eastAsia="zh-CN"/>
        </w:rPr>
        <w:t>综合电子标</w:t>
      </w:r>
      <w:r>
        <w:rPr>
          <w:rFonts w:hint="default" w:ascii="Times New Roman" w:hAnsi="Times New Roman"/>
          <w:b w:val="0"/>
          <w:bCs w:val="0"/>
          <w:lang w:val="en-US" w:eastAsia="zh-CN"/>
        </w:rPr>
        <w:t>→项目管理→网上开标→点击右上角“进入开标”，根据页面开标流程、开标直播、弹窗提示或者刷新页面的操作完成解密（解密环节系统默认30分钟，超过30分钟解密环节将会关闭）→质询（无异议的情况下手机扫码横屏完成签字即可）等操作。</w:t>
      </w:r>
    </w:p>
    <w:p w14:paraId="1189D9EE">
      <w:pPr>
        <w:bidi w:val="0"/>
        <w:rPr>
          <w:rFonts w:hint="default" w:ascii="Times New Roman" w:hAnsi="Times New Roman"/>
          <w:b w:val="0"/>
          <w:bCs w:val="0"/>
          <w:lang w:val="en-US" w:eastAsia="zh-CN"/>
        </w:rPr>
      </w:pPr>
      <w:r>
        <w:rPr>
          <w:rFonts w:hint="default" w:ascii="Times New Roman" w:hAnsi="Times New Roman"/>
          <w:b w:val="0"/>
          <w:bCs w:val="0"/>
          <w:lang w:val="en-US" w:eastAsia="zh-CN"/>
        </w:rPr>
        <w:t>4</w:t>
      </w:r>
      <w:r>
        <w:rPr>
          <w:rFonts w:hint="eastAsia" w:ascii="Times New Roman" w:hAnsi="Times New Roman"/>
          <w:b w:val="0"/>
          <w:bCs w:val="0"/>
          <w:lang w:val="en-US" w:eastAsia="zh-CN"/>
        </w:rPr>
        <w:t>、</w:t>
      </w:r>
      <w:r>
        <w:rPr>
          <w:rFonts w:hint="default" w:ascii="Times New Roman" w:hAnsi="Times New Roman"/>
          <w:b w:val="0"/>
          <w:bCs w:val="0"/>
          <w:lang w:val="en-US" w:eastAsia="zh-CN"/>
        </w:rPr>
        <w:t>技术支持甘肃交易通信息技术有限公司：</w:t>
      </w:r>
    </w:p>
    <w:p w14:paraId="577AE755">
      <w:pPr>
        <w:bidi w:val="0"/>
        <w:rPr>
          <w:rFonts w:hint="default" w:ascii="Times New Roman" w:hAnsi="Times New Roman"/>
          <w:b w:val="0"/>
          <w:bCs w:val="0"/>
          <w:lang w:val="en-US" w:eastAsia="zh-CN"/>
        </w:rPr>
      </w:pPr>
      <w:r>
        <w:rPr>
          <w:rFonts w:hint="default" w:ascii="Times New Roman" w:hAnsi="Times New Roman"/>
          <w:b w:val="0"/>
          <w:bCs w:val="0"/>
          <w:lang w:val="en-US" w:eastAsia="zh-CN"/>
        </w:rPr>
        <w:t>（1）交易通技术支持电话：4006131306；</w:t>
      </w:r>
    </w:p>
    <w:p w14:paraId="1A05900F">
      <w:pPr>
        <w:bidi w:val="0"/>
        <w:rPr>
          <w:rFonts w:hint="default" w:ascii="Times New Roman" w:hAnsi="Times New Roman"/>
          <w:b w:val="0"/>
          <w:bCs w:val="0"/>
          <w:lang w:val="en-US" w:eastAsia="zh-CN"/>
        </w:rPr>
      </w:pPr>
      <w:r>
        <w:rPr>
          <w:rFonts w:hint="default" w:ascii="Times New Roman" w:hAnsi="Times New Roman"/>
          <w:b w:val="0"/>
          <w:bCs w:val="0"/>
          <w:lang w:val="en-US" w:eastAsia="zh-CN"/>
        </w:rPr>
        <w:t>（2）驻场人员电话：18919160443/15502917361</w:t>
      </w:r>
    </w:p>
    <w:p w14:paraId="2B9BE0CE">
      <w:pPr>
        <w:bidi w:val="0"/>
        <w:rPr>
          <w:rFonts w:hint="default" w:ascii="Times New Roman" w:hAnsi="Times New Roman"/>
          <w:b/>
          <w:bCs/>
          <w:lang w:val="en-US" w:eastAsia="zh-CN"/>
        </w:rPr>
      </w:pPr>
      <w:r>
        <w:rPr>
          <w:rFonts w:hint="default" w:ascii="Times New Roman" w:hAnsi="Times New Roman"/>
          <w:b/>
          <w:bCs/>
          <w:lang w:val="en-US" w:eastAsia="zh-CN"/>
        </w:rPr>
        <w:t>六、踏勘现场投标预备会</w:t>
      </w:r>
    </w:p>
    <w:p w14:paraId="19DFC989">
      <w:pPr>
        <w:bidi w:val="0"/>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招标人不组织踏勘现场，不召开投标预备会，投标人自行踏勘，交通工具自备，安全责任自负，食宿自理。</w:t>
      </w:r>
    </w:p>
    <w:p w14:paraId="109E7253">
      <w:pPr>
        <w:bidi w:val="0"/>
        <w:rPr>
          <w:rFonts w:hint="eastAsia" w:eastAsiaTheme="minorEastAsia"/>
          <w:lang w:eastAsia="zh-CN"/>
        </w:rPr>
      </w:pPr>
      <w:r>
        <w:rPr>
          <w:rFonts w:hint="default" w:ascii="Times New Roman" w:hAnsi="Times New Roman"/>
          <w:b/>
          <w:bCs/>
          <w:lang w:val="en-US" w:eastAsia="zh-CN"/>
        </w:rPr>
        <w:t>七、发布公告的媒介：</w:t>
      </w:r>
      <w:r>
        <w:rPr>
          <w:rFonts w:hint="default"/>
        </w:rPr>
        <w:t>临夏州公共资源交易网（http：//ggzyjy.linxia.gov.cn）、甘肃经济信息网</w:t>
      </w:r>
      <w:r>
        <w:rPr>
          <w:rFonts w:hint="eastAsia"/>
          <w:lang w:eastAsia="zh-CN"/>
        </w:rPr>
        <w:t>发布。</w:t>
      </w:r>
    </w:p>
    <w:p w14:paraId="76FB5F52">
      <w:pPr>
        <w:bidi w:val="0"/>
        <w:rPr>
          <w:rFonts w:hint="default" w:ascii="Times New Roman" w:hAnsi="Times New Roman"/>
          <w:b/>
          <w:bCs/>
          <w:lang w:val="en-US" w:eastAsia="zh-CN"/>
        </w:rPr>
      </w:pPr>
      <w:r>
        <w:rPr>
          <w:rFonts w:hint="default" w:ascii="Times New Roman" w:hAnsi="Times New Roman"/>
          <w:b/>
          <w:bCs/>
          <w:lang w:val="en-US" w:eastAsia="zh-CN"/>
        </w:rPr>
        <w:t>八、监督单位</w:t>
      </w:r>
    </w:p>
    <w:p w14:paraId="7B673455">
      <w:pPr>
        <w:bidi w:val="0"/>
        <w:rPr>
          <w:rFonts w:hint="default"/>
          <w:lang w:val="en-US" w:eastAsia="zh-CN"/>
        </w:rPr>
      </w:pPr>
      <w:r>
        <w:rPr>
          <w:rFonts w:hint="default"/>
          <w:lang w:val="en-US" w:eastAsia="zh-CN"/>
        </w:rPr>
        <w:t>和政县农业农村局</w:t>
      </w:r>
      <w:r>
        <w:rPr>
          <w:rFonts w:hint="eastAsia"/>
          <w:lang w:val="en-US" w:eastAsia="zh-CN"/>
        </w:rPr>
        <w:t xml:space="preserve">    </w:t>
      </w:r>
      <w:r>
        <w:rPr>
          <w:rFonts w:hint="default"/>
          <w:lang w:val="en-US" w:eastAsia="zh-CN"/>
        </w:rPr>
        <w:t>联系电话：0930-5521099</w:t>
      </w:r>
    </w:p>
    <w:p w14:paraId="0EBB658A">
      <w:pPr>
        <w:bidi w:val="0"/>
        <w:rPr>
          <w:rFonts w:hint="default"/>
        </w:rPr>
      </w:pPr>
      <w:r>
        <w:rPr>
          <w:rFonts w:hint="eastAsia"/>
          <w:b/>
          <w:bCs/>
          <w:lang w:val="en-US" w:eastAsia="zh-CN"/>
        </w:rPr>
        <w:t>九、</w:t>
      </w:r>
      <w:r>
        <w:rPr>
          <w:rFonts w:hint="default" w:ascii="Times New Roman" w:hAnsi="Times New Roman"/>
          <w:b/>
          <w:bCs/>
          <w:lang w:val="en-US" w:eastAsia="zh-CN"/>
        </w:rPr>
        <w:t>联系人及联系方式：</w:t>
      </w:r>
    </w:p>
    <w:p w14:paraId="32CB9242">
      <w:pPr>
        <w:keepNext w:val="0"/>
        <w:keepLines w:val="0"/>
        <w:pageBreakBefore w:val="0"/>
        <w:widowControl w:val="0"/>
        <w:kinsoku/>
        <w:overflowPunct/>
        <w:topLinePunct w:val="0"/>
        <w:autoSpaceDE/>
        <w:autoSpaceDN/>
        <w:bidi w:val="0"/>
        <w:adjustRightInd w:val="0"/>
        <w:snapToGrid w:val="0"/>
        <w:spacing w:line="500" w:lineRule="exact"/>
        <w:ind w:firstLine="480" w:firstLineChars="200"/>
        <w:textAlignment w:val="auto"/>
        <w:rPr>
          <w:rFonts w:hint="eastAsia" w:ascii="Times New Roman" w:hAnsi="Times New Roman" w:eastAsia="宋体" w:cs="Times New Roman"/>
          <w:sz w:val="24"/>
          <w:lang w:eastAsia="zh-CN"/>
        </w:rPr>
      </w:pPr>
      <w:r>
        <w:rPr>
          <w:rFonts w:hint="default" w:ascii="Times New Roman" w:hAnsi="Times New Roman" w:eastAsia="宋体" w:cs="Times New Roman"/>
          <w:sz w:val="24"/>
        </w:rPr>
        <w:t>招标人：</w:t>
      </w:r>
      <w:r>
        <w:rPr>
          <w:rFonts w:hint="eastAsia" w:eastAsia="宋体" w:cs="Times New Roman"/>
          <w:sz w:val="24"/>
          <w:highlight w:val="none"/>
          <w:lang w:eastAsia="zh-CN"/>
        </w:rPr>
        <w:t>和政县扶贫开发投资有限公司</w:t>
      </w:r>
    </w:p>
    <w:p w14:paraId="7B3B98CF">
      <w:pPr>
        <w:keepNext w:val="0"/>
        <w:keepLines w:val="0"/>
        <w:pageBreakBefore w:val="0"/>
        <w:widowControl w:val="0"/>
        <w:kinsoku/>
        <w:overflowPunct/>
        <w:topLinePunct w:val="0"/>
        <w:autoSpaceDE/>
        <w:autoSpaceDN/>
        <w:bidi w:val="0"/>
        <w:adjustRightInd w:val="0"/>
        <w:snapToGrid w:val="0"/>
        <w:spacing w:line="500" w:lineRule="exact"/>
        <w:ind w:firstLine="480" w:firstLineChars="200"/>
        <w:textAlignment w:val="auto"/>
        <w:rPr>
          <w:rFonts w:hint="eastAsia" w:eastAsia="宋体" w:cs="Times New Roman"/>
          <w:sz w:val="24"/>
          <w:lang w:val="en-US" w:eastAsia="zh-CN"/>
        </w:rPr>
      </w:pPr>
      <w:r>
        <w:rPr>
          <w:rFonts w:hint="default" w:ascii="Times New Roman" w:hAnsi="Times New Roman" w:eastAsia="宋体" w:cs="Times New Roman"/>
          <w:sz w:val="24"/>
        </w:rPr>
        <w:t>联系人：</w:t>
      </w:r>
      <w:r>
        <w:rPr>
          <w:rFonts w:hint="eastAsia" w:eastAsia="宋体" w:cs="Times New Roman"/>
          <w:sz w:val="24"/>
          <w:lang w:val="en-US" w:eastAsia="zh-CN"/>
        </w:rPr>
        <w:t>赵佳荣</w:t>
      </w:r>
    </w:p>
    <w:p w14:paraId="43A5C783">
      <w:pPr>
        <w:keepNext w:val="0"/>
        <w:keepLines w:val="0"/>
        <w:pageBreakBefore w:val="0"/>
        <w:widowControl w:val="0"/>
        <w:kinsoku/>
        <w:overflowPunct/>
        <w:topLinePunct w:val="0"/>
        <w:autoSpaceDE/>
        <w:autoSpaceDN/>
        <w:bidi w:val="0"/>
        <w:adjustRightInd w:val="0"/>
        <w:snapToGrid w:val="0"/>
        <w:spacing w:line="500" w:lineRule="exact"/>
        <w:ind w:firstLine="480" w:firstLineChars="200"/>
        <w:textAlignment w:val="auto"/>
        <w:rPr>
          <w:rFonts w:hint="default" w:eastAsia="宋体" w:cs="Times New Roman"/>
          <w:sz w:val="24"/>
          <w:lang w:val="en-US" w:eastAsia="zh-CN"/>
        </w:rPr>
      </w:pPr>
      <w:r>
        <w:rPr>
          <w:rFonts w:hint="default" w:ascii="Times New Roman" w:hAnsi="Times New Roman" w:eastAsia="宋体" w:cs="Times New Roman"/>
          <w:sz w:val="24"/>
        </w:rPr>
        <w:t>联系电话：</w:t>
      </w:r>
      <w:r>
        <w:rPr>
          <w:rFonts w:hint="eastAsia" w:eastAsia="宋体" w:cs="Times New Roman"/>
          <w:sz w:val="24"/>
          <w:lang w:val="en-US" w:eastAsia="zh-CN"/>
        </w:rPr>
        <w:t>19958495295</w:t>
      </w:r>
    </w:p>
    <w:p w14:paraId="11C6AE08">
      <w:pPr>
        <w:keepNext w:val="0"/>
        <w:keepLines w:val="0"/>
        <w:pageBreakBefore w:val="0"/>
        <w:widowControl w:val="0"/>
        <w:kinsoku/>
        <w:overflowPunct/>
        <w:topLinePunct w:val="0"/>
        <w:autoSpaceDE/>
        <w:autoSpaceDN/>
        <w:bidi w:val="0"/>
        <w:adjustRightInd w:val="0"/>
        <w:snapToGrid w:val="0"/>
        <w:spacing w:line="500" w:lineRule="exact"/>
        <w:ind w:firstLine="480" w:firstLineChars="200"/>
        <w:textAlignment w:val="auto"/>
        <w:rPr>
          <w:rFonts w:hint="default" w:eastAsia="宋体" w:cs="Times New Roman"/>
          <w:sz w:val="24"/>
          <w:lang w:val="en-US" w:eastAsia="zh-CN"/>
        </w:rPr>
      </w:pPr>
      <w:r>
        <w:rPr>
          <w:rFonts w:hint="eastAsia" w:eastAsia="宋体" w:cs="Times New Roman"/>
          <w:sz w:val="24"/>
          <w:lang w:val="en-US" w:eastAsia="zh-CN"/>
        </w:rPr>
        <w:t>地址：甘肃省临夏回族自治州和政县城关镇三号统办楼</w:t>
      </w:r>
    </w:p>
    <w:p w14:paraId="304572BD">
      <w:pPr>
        <w:keepNext w:val="0"/>
        <w:keepLines w:val="0"/>
        <w:pageBreakBefore w:val="0"/>
        <w:widowControl w:val="0"/>
        <w:kinsoku/>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eastAsia="宋体" w:cs="Times New Roman"/>
          <w:sz w:val="24"/>
        </w:rPr>
      </w:pPr>
      <w:r>
        <w:rPr>
          <w:rFonts w:hint="default" w:ascii="Times New Roman" w:hAnsi="Times New Roman" w:eastAsia="宋体" w:cs="Times New Roman"/>
          <w:sz w:val="24"/>
        </w:rPr>
        <w:t>招标代理：甘肃</w:t>
      </w:r>
      <w:r>
        <w:rPr>
          <w:rFonts w:hint="eastAsia" w:eastAsia="宋体" w:cs="Times New Roman"/>
          <w:sz w:val="24"/>
          <w:lang w:val="en-US" w:eastAsia="zh-CN"/>
        </w:rPr>
        <w:t>长青</w:t>
      </w:r>
      <w:r>
        <w:rPr>
          <w:rFonts w:hint="eastAsia" w:ascii="Times New Roman" w:hAnsi="Times New Roman" w:eastAsia="宋体" w:cs="Times New Roman"/>
          <w:sz w:val="24"/>
          <w:lang w:val="en-US" w:eastAsia="zh-CN"/>
        </w:rPr>
        <w:t>项目管理</w:t>
      </w:r>
      <w:r>
        <w:rPr>
          <w:rFonts w:hint="default" w:ascii="Times New Roman" w:hAnsi="Times New Roman" w:eastAsia="宋体" w:cs="Times New Roman"/>
          <w:sz w:val="24"/>
        </w:rPr>
        <w:t>有限公司</w:t>
      </w:r>
    </w:p>
    <w:p w14:paraId="28359E50">
      <w:pPr>
        <w:keepNext w:val="0"/>
        <w:keepLines w:val="0"/>
        <w:pageBreakBefore w:val="0"/>
        <w:widowControl w:val="0"/>
        <w:kinsoku/>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eastAsia="宋体" w:cs="Times New Roman"/>
          <w:sz w:val="24"/>
          <w:lang w:eastAsia="zh-CN"/>
        </w:rPr>
      </w:pPr>
      <w:r>
        <w:rPr>
          <w:rFonts w:hint="default" w:ascii="Times New Roman" w:hAnsi="Times New Roman" w:eastAsia="宋体" w:cs="Times New Roman"/>
          <w:sz w:val="24"/>
        </w:rPr>
        <w:t>联系人：</w:t>
      </w:r>
      <w:r>
        <w:rPr>
          <w:rFonts w:hint="eastAsia" w:eastAsia="宋体" w:cs="Times New Roman"/>
          <w:sz w:val="24"/>
          <w:lang w:val="en-US" w:eastAsia="zh-CN"/>
        </w:rPr>
        <w:t>张彦斌</w:t>
      </w:r>
    </w:p>
    <w:p w14:paraId="446D54A0">
      <w:pPr>
        <w:keepNext w:val="0"/>
        <w:keepLines w:val="0"/>
        <w:pageBreakBefore w:val="0"/>
        <w:widowControl w:val="0"/>
        <w:kinsoku/>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eastAsia="zh-CN"/>
        </w:rPr>
        <w:t>联系电话：</w:t>
      </w:r>
      <w:r>
        <w:rPr>
          <w:rFonts w:hint="default" w:ascii="Times New Roman" w:hAnsi="Times New Roman" w:eastAsia="宋体" w:cs="Times New Roman"/>
          <w:sz w:val="24"/>
        </w:rPr>
        <w:t xml:space="preserve">0931-8261778   </w:t>
      </w:r>
      <w:r>
        <w:rPr>
          <w:rFonts w:hint="default" w:ascii="Times New Roman" w:hAnsi="Times New Roman" w:eastAsia="宋体" w:cs="Times New Roman"/>
          <w:sz w:val="24"/>
          <w:lang w:val="en-US" w:eastAsia="zh-CN"/>
        </w:rPr>
        <w:t>1</w:t>
      </w:r>
      <w:r>
        <w:rPr>
          <w:rFonts w:hint="eastAsia" w:eastAsia="宋体" w:cs="Times New Roman"/>
          <w:sz w:val="24"/>
          <w:lang w:val="en-US" w:eastAsia="zh-CN"/>
        </w:rPr>
        <w:t>5097151522</w:t>
      </w:r>
    </w:p>
    <w:p w14:paraId="78325186">
      <w:pPr>
        <w:keepNext w:val="0"/>
        <w:keepLines w:val="0"/>
        <w:pageBreakBefore w:val="0"/>
        <w:widowControl w:val="0"/>
        <w:kinsoku/>
        <w:overflowPunct/>
        <w:topLinePunct w:val="0"/>
        <w:autoSpaceDE/>
        <w:autoSpaceDN/>
        <w:bidi w:val="0"/>
        <w:adjustRightInd w:val="0"/>
        <w:snapToGrid w:val="0"/>
        <w:spacing w:line="500" w:lineRule="exact"/>
        <w:ind w:firstLine="480" w:firstLineChars="200"/>
        <w:textAlignment w:val="auto"/>
        <w:rPr>
          <w:rFonts w:hint="eastAsia"/>
          <w:color w:val="auto"/>
          <w:lang w:val="en-US" w:eastAsia="zh-CN"/>
        </w:rPr>
      </w:pPr>
      <w:r>
        <w:rPr>
          <w:rFonts w:hint="eastAsia" w:eastAsia="宋体" w:cs="Times New Roman"/>
          <w:sz w:val="24"/>
          <w:lang w:val="en-US" w:eastAsia="zh-CN"/>
        </w:rPr>
        <w:t>地址：甘肃省兰州市城关区盐场路街道北滨河东路188号附1号天星滨河时代14层1407室</w:t>
      </w:r>
    </w:p>
    <w:p w14:paraId="4AF4E774">
      <w:pPr>
        <w:bidi w:val="0"/>
        <w:jc w:val="right"/>
        <w:rPr>
          <w:rFonts w:hint="default"/>
          <w:color w:val="0000FF"/>
        </w:rPr>
      </w:pPr>
      <w:r>
        <w:rPr>
          <w:rFonts w:hint="eastAsia"/>
          <w:color w:val="auto"/>
          <w:lang w:val="en-US" w:eastAsia="zh-CN"/>
        </w:rPr>
        <w:t>2026</w:t>
      </w:r>
      <w:r>
        <w:rPr>
          <w:rFonts w:hint="default"/>
          <w:color w:val="auto"/>
          <w:lang w:val="en-US" w:eastAsia="zh-CN"/>
        </w:rPr>
        <w:t>年</w:t>
      </w:r>
      <w:r>
        <w:rPr>
          <w:rFonts w:hint="eastAsia"/>
          <w:color w:val="auto"/>
          <w:lang w:val="en-US" w:eastAsia="zh-CN"/>
        </w:rPr>
        <w:t>08</w:t>
      </w:r>
      <w:r>
        <w:rPr>
          <w:rFonts w:hint="default"/>
          <w:color w:val="auto"/>
          <w:lang w:val="en-US" w:eastAsia="zh-CN"/>
        </w:rPr>
        <w:t>月</w:t>
      </w:r>
      <w:r>
        <w:rPr>
          <w:rFonts w:hint="eastAsia"/>
          <w:color w:val="auto"/>
          <w:lang w:val="en-US" w:eastAsia="zh-CN"/>
        </w:rPr>
        <w:t>19</w:t>
      </w:r>
      <w:r>
        <w:rPr>
          <w:rFonts w:hint="default"/>
          <w:color w:val="auto"/>
          <w:lang w:val="en-US" w:eastAsia="zh-CN"/>
        </w:rPr>
        <w:t>日</w:t>
      </w:r>
    </w:p>
    <w:sectPr>
      <w:footerReference r:id="rId5" w:type="default"/>
      <w:pgSz w:w="11906" w:h="16838"/>
      <w:pgMar w:top="1440" w:right="1440" w:bottom="1440"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05CE71">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0153A5">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10153A5">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4D593A"/>
    <w:multiLevelType w:val="singleLevel"/>
    <w:tmpl w:val="CD4D593A"/>
    <w:lvl w:ilvl="0" w:tentative="0">
      <w:start w:val="7"/>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ZlZTM0NzkxMzYxMDZmNmE3NTU4ZDkzN2U2MDcwYzUifQ=="/>
  </w:docVars>
  <w:rsids>
    <w:rsidRoot w:val="00133691"/>
    <w:rsid w:val="00032A89"/>
    <w:rsid w:val="000514F9"/>
    <w:rsid w:val="000B5357"/>
    <w:rsid w:val="000D50A2"/>
    <w:rsid w:val="00133691"/>
    <w:rsid w:val="001A64C4"/>
    <w:rsid w:val="002254E6"/>
    <w:rsid w:val="0026304A"/>
    <w:rsid w:val="002B28F8"/>
    <w:rsid w:val="00311828"/>
    <w:rsid w:val="00351533"/>
    <w:rsid w:val="00482354"/>
    <w:rsid w:val="004F4130"/>
    <w:rsid w:val="00517B6D"/>
    <w:rsid w:val="00524C06"/>
    <w:rsid w:val="0079077D"/>
    <w:rsid w:val="00901681"/>
    <w:rsid w:val="009869F3"/>
    <w:rsid w:val="00B52899"/>
    <w:rsid w:val="00C15951"/>
    <w:rsid w:val="00D2245C"/>
    <w:rsid w:val="00E354CD"/>
    <w:rsid w:val="00EA7963"/>
    <w:rsid w:val="00ED45B0"/>
    <w:rsid w:val="0179546C"/>
    <w:rsid w:val="01BE3480"/>
    <w:rsid w:val="022D49BF"/>
    <w:rsid w:val="0369347F"/>
    <w:rsid w:val="03B32033"/>
    <w:rsid w:val="04662A64"/>
    <w:rsid w:val="04835199"/>
    <w:rsid w:val="04975F9D"/>
    <w:rsid w:val="04F75026"/>
    <w:rsid w:val="058B26B8"/>
    <w:rsid w:val="06383B48"/>
    <w:rsid w:val="064A387B"/>
    <w:rsid w:val="06CB0518"/>
    <w:rsid w:val="06E25862"/>
    <w:rsid w:val="06FC0789"/>
    <w:rsid w:val="07CD02C0"/>
    <w:rsid w:val="07F13FAE"/>
    <w:rsid w:val="09421EC5"/>
    <w:rsid w:val="0A1246B0"/>
    <w:rsid w:val="0A4C5514"/>
    <w:rsid w:val="0A71463B"/>
    <w:rsid w:val="0ACE05D7"/>
    <w:rsid w:val="0AD57BB7"/>
    <w:rsid w:val="0BE358A2"/>
    <w:rsid w:val="0D2C5A88"/>
    <w:rsid w:val="0E6F580A"/>
    <w:rsid w:val="0EEC1973"/>
    <w:rsid w:val="0F1D38DB"/>
    <w:rsid w:val="0F76123D"/>
    <w:rsid w:val="0FB80E00"/>
    <w:rsid w:val="10032425"/>
    <w:rsid w:val="104430E9"/>
    <w:rsid w:val="105772C0"/>
    <w:rsid w:val="11B9430E"/>
    <w:rsid w:val="11DD1A47"/>
    <w:rsid w:val="12CC3E0E"/>
    <w:rsid w:val="138171D7"/>
    <w:rsid w:val="13F3533D"/>
    <w:rsid w:val="1411788F"/>
    <w:rsid w:val="144C06BE"/>
    <w:rsid w:val="14D82E03"/>
    <w:rsid w:val="14F5226F"/>
    <w:rsid w:val="15E769F0"/>
    <w:rsid w:val="15EB3836"/>
    <w:rsid w:val="1618239C"/>
    <w:rsid w:val="16462581"/>
    <w:rsid w:val="18A64D94"/>
    <w:rsid w:val="18F7519C"/>
    <w:rsid w:val="18FA6A00"/>
    <w:rsid w:val="1A255D39"/>
    <w:rsid w:val="1AC140AB"/>
    <w:rsid w:val="1BE539D2"/>
    <w:rsid w:val="1CFE2FC8"/>
    <w:rsid w:val="1CFE6D44"/>
    <w:rsid w:val="1E0F4D36"/>
    <w:rsid w:val="1EA23C83"/>
    <w:rsid w:val="20176124"/>
    <w:rsid w:val="20835F2C"/>
    <w:rsid w:val="20D44015"/>
    <w:rsid w:val="20F200C3"/>
    <w:rsid w:val="22396826"/>
    <w:rsid w:val="242B03F0"/>
    <w:rsid w:val="24797AB8"/>
    <w:rsid w:val="25C1100C"/>
    <w:rsid w:val="25C96113"/>
    <w:rsid w:val="263C0693"/>
    <w:rsid w:val="266422C2"/>
    <w:rsid w:val="26B40B71"/>
    <w:rsid w:val="27BE48F4"/>
    <w:rsid w:val="288B5901"/>
    <w:rsid w:val="29CC7F7F"/>
    <w:rsid w:val="29DB6414"/>
    <w:rsid w:val="2A95366B"/>
    <w:rsid w:val="2BFD685C"/>
    <w:rsid w:val="2C131E96"/>
    <w:rsid w:val="2CB847EB"/>
    <w:rsid w:val="2D4D587B"/>
    <w:rsid w:val="2DAC35A4"/>
    <w:rsid w:val="2EA61F9D"/>
    <w:rsid w:val="2F740E9D"/>
    <w:rsid w:val="2FCD4658"/>
    <w:rsid w:val="2FD86717"/>
    <w:rsid w:val="30D7462D"/>
    <w:rsid w:val="32F8632E"/>
    <w:rsid w:val="332D2530"/>
    <w:rsid w:val="33BB0AE7"/>
    <w:rsid w:val="349D49F2"/>
    <w:rsid w:val="358D2CB9"/>
    <w:rsid w:val="35ED3757"/>
    <w:rsid w:val="36161B1F"/>
    <w:rsid w:val="365F0D30"/>
    <w:rsid w:val="366A2FFA"/>
    <w:rsid w:val="36A75AE6"/>
    <w:rsid w:val="37712166"/>
    <w:rsid w:val="37787BDA"/>
    <w:rsid w:val="394A63BF"/>
    <w:rsid w:val="39F50E2C"/>
    <w:rsid w:val="3A4A561C"/>
    <w:rsid w:val="3AB42A96"/>
    <w:rsid w:val="3AB900AC"/>
    <w:rsid w:val="3AD43138"/>
    <w:rsid w:val="3B070E17"/>
    <w:rsid w:val="3B516536"/>
    <w:rsid w:val="3B731EA3"/>
    <w:rsid w:val="3B765F9D"/>
    <w:rsid w:val="3BD56492"/>
    <w:rsid w:val="3C564597"/>
    <w:rsid w:val="3CD27089"/>
    <w:rsid w:val="3D6043AB"/>
    <w:rsid w:val="3E4F3616"/>
    <w:rsid w:val="3FA13067"/>
    <w:rsid w:val="407C22A8"/>
    <w:rsid w:val="409A44DC"/>
    <w:rsid w:val="40A317D2"/>
    <w:rsid w:val="40C43E49"/>
    <w:rsid w:val="41661F05"/>
    <w:rsid w:val="41AF76B3"/>
    <w:rsid w:val="41BB295C"/>
    <w:rsid w:val="4249402D"/>
    <w:rsid w:val="43EF0E7D"/>
    <w:rsid w:val="4532736E"/>
    <w:rsid w:val="457F6208"/>
    <w:rsid w:val="45877724"/>
    <w:rsid w:val="45BB73CE"/>
    <w:rsid w:val="472557AB"/>
    <w:rsid w:val="479E11B9"/>
    <w:rsid w:val="47B13127"/>
    <w:rsid w:val="48412F5B"/>
    <w:rsid w:val="48897310"/>
    <w:rsid w:val="48F62E65"/>
    <w:rsid w:val="49080F1D"/>
    <w:rsid w:val="493757D8"/>
    <w:rsid w:val="49DA7F21"/>
    <w:rsid w:val="49F41101"/>
    <w:rsid w:val="4A51737E"/>
    <w:rsid w:val="4A5D3C41"/>
    <w:rsid w:val="4A755A04"/>
    <w:rsid w:val="4AD134FA"/>
    <w:rsid w:val="4B5D2CD5"/>
    <w:rsid w:val="4B8F761B"/>
    <w:rsid w:val="4C056966"/>
    <w:rsid w:val="4C9D0CEB"/>
    <w:rsid w:val="4CA7772A"/>
    <w:rsid w:val="4CDA2830"/>
    <w:rsid w:val="4CEF26FC"/>
    <w:rsid w:val="4D4D00BA"/>
    <w:rsid w:val="4D675535"/>
    <w:rsid w:val="4D85535D"/>
    <w:rsid w:val="4DFE60AA"/>
    <w:rsid w:val="4E27018F"/>
    <w:rsid w:val="4E443FE4"/>
    <w:rsid w:val="4E7815BC"/>
    <w:rsid w:val="4F351F9F"/>
    <w:rsid w:val="4F856531"/>
    <w:rsid w:val="4FB235F0"/>
    <w:rsid w:val="4FDC035B"/>
    <w:rsid w:val="507C2690"/>
    <w:rsid w:val="509C1BAA"/>
    <w:rsid w:val="50CD4459"/>
    <w:rsid w:val="50CD6031"/>
    <w:rsid w:val="51424450"/>
    <w:rsid w:val="51C07B1A"/>
    <w:rsid w:val="52383B54"/>
    <w:rsid w:val="523D6069"/>
    <w:rsid w:val="52756B57"/>
    <w:rsid w:val="542B198A"/>
    <w:rsid w:val="5463310B"/>
    <w:rsid w:val="55167E1D"/>
    <w:rsid w:val="55361049"/>
    <w:rsid w:val="553D1BAE"/>
    <w:rsid w:val="56082E5B"/>
    <w:rsid w:val="560C7673"/>
    <w:rsid w:val="562F4981"/>
    <w:rsid w:val="56446F6C"/>
    <w:rsid w:val="565F4EB3"/>
    <w:rsid w:val="56C6353C"/>
    <w:rsid w:val="57250B4B"/>
    <w:rsid w:val="57435011"/>
    <w:rsid w:val="57A66969"/>
    <w:rsid w:val="585B626A"/>
    <w:rsid w:val="58DB3EF8"/>
    <w:rsid w:val="594A33F5"/>
    <w:rsid w:val="59590F80"/>
    <w:rsid w:val="59814033"/>
    <w:rsid w:val="59B81816"/>
    <w:rsid w:val="5A565159"/>
    <w:rsid w:val="5A967CD3"/>
    <w:rsid w:val="5AC468CD"/>
    <w:rsid w:val="5AC97A40"/>
    <w:rsid w:val="5B494564"/>
    <w:rsid w:val="5B7B2074"/>
    <w:rsid w:val="5BB4064D"/>
    <w:rsid w:val="5C3353C8"/>
    <w:rsid w:val="5C6B0A40"/>
    <w:rsid w:val="5CE01081"/>
    <w:rsid w:val="5DF424ED"/>
    <w:rsid w:val="5F9770A2"/>
    <w:rsid w:val="5FB516FB"/>
    <w:rsid w:val="5FC627FE"/>
    <w:rsid w:val="5FFB4FB0"/>
    <w:rsid w:val="60227B3A"/>
    <w:rsid w:val="602A4C9C"/>
    <w:rsid w:val="603752B7"/>
    <w:rsid w:val="60807FBF"/>
    <w:rsid w:val="60C636FB"/>
    <w:rsid w:val="60FD7CC1"/>
    <w:rsid w:val="61613336"/>
    <w:rsid w:val="61A94127"/>
    <w:rsid w:val="61AF1D82"/>
    <w:rsid w:val="61EB0BE3"/>
    <w:rsid w:val="62C565DC"/>
    <w:rsid w:val="62E713AB"/>
    <w:rsid w:val="631F65F5"/>
    <w:rsid w:val="638F771A"/>
    <w:rsid w:val="63F41FD1"/>
    <w:rsid w:val="641A130C"/>
    <w:rsid w:val="6425786E"/>
    <w:rsid w:val="645670A4"/>
    <w:rsid w:val="64A34DB9"/>
    <w:rsid w:val="671B0B44"/>
    <w:rsid w:val="676E3E49"/>
    <w:rsid w:val="68596EA2"/>
    <w:rsid w:val="69BD4C13"/>
    <w:rsid w:val="69BF3506"/>
    <w:rsid w:val="69D5315A"/>
    <w:rsid w:val="69FE013C"/>
    <w:rsid w:val="6A0D18A5"/>
    <w:rsid w:val="6A876FCF"/>
    <w:rsid w:val="6AD55F8D"/>
    <w:rsid w:val="6B1E7B31"/>
    <w:rsid w:val="6B58616F"/>
    <w:rsid w:val="6B661201"/>
    <w:rsid w:val="6C656FE4"/>
    <w:rsid w:val="6C735A5D"/>
    <w:rsid w:val="6D2A6A64"/>
    <w:rsid w:val="6DD142FD"/>
    <w:rsid w:val="6F597F61"/>
    <w:rsid w:val="7053007F"/>
    <w:rsid w:val="70B74B8A"/>
    <w:rsid w:val="70FD602F"/>
    <w:rsid w:val="72CC5BD6"/>
    <w:rsid w:val="72D37256"/>
    <w:rsid w:val="7308759C"/>
    <w:rsid w:val="73810C16"/>
    <w:rsid w:val="73C31078"/>
    <w:rsid w:val="73E85133"/>
    <w:rsid w:val="74DC4AE7"/>
    <w:rsid w:val="752C70F1"/>
    <w:rsid w:val="755468FE"/>
    <w:rsid w:val="75722D56"/>
    <w:rsid w:val="75C31803"/>
    <w:rsid w:val="75FB4E7D"/>
    <w:rsid w:val="7611062E"/>
    <w:rsid w:val="763418C4"/>
    <w:rsid w:val="76A43EB3"/>
    <w:rsid w:val="772E0EFE"/>
    <w:rsid w:val="77844FC2"/>
    <w:rsid w:val="77874DAD"/>
    <w:rsid w:val="780A3DC3"/>
    <w:rsid w:val="7946222B"/>
    <w:rsid w:val="79F5224A"/>
    <w:rsid w:val="7A083C89"/>
    <w:rsid w:val="7A093945"/>
    <w:rsid w:val="7A1545F8"/>
    <w:rsid w:val="7A1E633F"/>
    <w:rsid w:val="7A3A4D70"/>
    <w:rsid w:val="7A7A445D"/>
    <w:rsid w:val="7A884EBA"/>
    <w:rsid w:val="7B1D4F56"/>
    <w:rsid w:val="7B615D46"/>
    <w:rsid w:val="7BC736D0"/>
    <w:rsid w:val="7C2F26EC"/>
    <w:rsid w:val="7CB37868"/>
    <w:rsid w:val="7D3905FD"/>
    <w:rsid w:val="7D4F5FEC"/>
    <w:rsid w:val="7D5D6C4B"/>
    <w:rsid w:val="7DC223A1"/>
    <w:rsid w:val="7E696CC0"/>
    <w:rsid w:val="7EE06F82"/>
    <w:rsid w:val="7EE546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keepNext/>
      <w:keepLines w:val="0"/>
      <w:widowControl w:val="0"/>
      <w:wordWrap w:val="0"/>
      <w:spacing w:line="500" w:lineRule="exact"/>
      <w:ind w:firstLine="420" w:firstLineChars="200"/>
      <w:jc w:val="both"/>
    </w:pPr>
    <w:rPr>
      <w:rFonts w:ascii="Times New Roman" w:hAnsi="Times New Roman" w:eastAsiaTheme="minorEastAsia" w:cstheme="minorBidi"/>
      <w:kern w:val="2"/>
      <w:sz w:val="24"/>
      <w:szCs w:val="24"/>
      <w:lang w:val="en-US" w:eastAsia="zh-CN" w:bidi="ar-SA"/>
    </w:rPr>
  </w:style>
  <w:style w:type="paragraph" w:styleId="2">
    <w:name w:val="heading 4"/>
    <w:basedOn w:val="1"/>
    <w:next w:val="3"/>
    <w:autoRedefine/>
    <w:qFormat/>
    <w:uiPriority w:val="0"/>
    <w:pPr>
      <w:keepNext/>
      <w:keepLines/>
      <w:tabs>
        <w:tab w:val="left" w:pos="864"/>
        <w:tab w:val="left" w:pos="2053"/>
      </w:tabs>
      <w:jc w:val="left"/>
      <w:outlineLvl w:val="3"/>
    </w:pPr>
    <w:rPr>
      <w:b/>
      <w:szCs w:val="20"/>
    </w:rPr>
  </w:style>
  <w:style w:type="character" w:default="1" w:styleId="12">
    <w:name w:val="Default Paragraph Font"/>
    <w:autoRedefine/>
    <w:semiHidden/>
    <w:unhideWhenUsed/>
    <w:qFormat/>
    <w:uiPriority w:val="1"/>
  </w:style>
  <w:style w:type="table" w:default="1" w:styleId="11">
    <w:name w:val="Normal Table"/>
    <w:autoRedefine/>
    <w:semiHidden/>
    <w:unhideWhenUsed/>
    <w:qFormat/>
    <w:uiPriority w:val="99"/>
    <w:tblPr>
      <w:tblCellMar>
        <w:top w:w="0" w:type="dxa"/>
        <w:left w:w="108" w:type="dxa"/>
        <w:bottom w:w="0" w:type="dxa"/>
        <w:right w:w="108" w:type="dxa"/>
      </w:tblCellMar>
    </w:tblPr>
  </w:style>
  <w:style w:type="paragraph" w:customStyle="1" w:styleId="3">
    <w:name w:val="段落 Char"/>
    <w:basedOn w:val="1"/>
    <w:autoRedefine/>
    <w:qFormat/>
    <w:uiPriority w:val="0"/>
    <w:pPr>
      <w:topLinePunct/>
      <w:snapToGrid w:val="0"/>
      <w:spacing w:line="360" w:lineRule="auto"/>
      <w:ind w:firstLine="200" w:firstLineChars="200"/>
    </w:pPr>
    <w:rPr>
      <w:sz w:val="24"/>
    </w:rPr>
  </w:style>
  <w:style w:type="paragraph" w:styleId="4">
    <w:name w:val="Body Text"/>
    <w:basedOn w:val="1"/>
    <w:autoRedefine/>
    <w:qFormat/>
    <w:uiPriority w:val="1"/>
    <w:pPr>
      <w:ind w:left="100"/>
    </w:pPr>
    <w:rPr>
      <w:sz w:val="28"/>
      <w:szCs w:val="28"/>
    </w:rPr>
  </w:style>
  <w:style w:type="paragraph" w:styleId="5">
    <w:name w:val="Body Text Indent 2"/>
    <w:basedOn w:val="1"/>
    <w:next w:val="6"/>
    <w:autoRedefine/>
    <w:qFormat/>
    <w:uiPriority w:val="0"/>
    <w:pPr>
      <w:spacing w:line="480" w:lineRule="auto"/>
      <w:ind w:left="420" w:leftChars="200"/>
    </w:pPr>
  </w:style>
  <w:style w:type="paragraph" w:styleId="6">
    <w:name w:val="Normal (Web)"/>
    <w:basedOn w:val="1"/>
    <w:next w:val="1"/>
    <w:autoRedefine/>
    <w:qFormat/>
    <w:uiPriority w:val="0"/>
    <w:pPr>
      <w:keepLines/>
      <w:widowControl/>
      <w:wordWrap w:val="0"/>
      <w:jc w:val="left"/>
    </w:pPr>
    <w:rPr>
      <w:rFonts w:cs="Times New Roman" w:asciiTheme="minorAscii" w:hAnsiTheme="minorAscii"/>
      <w:kern w:val="0"/>
      <w:sz w:val="24"/>
    </w:rPr>
  </w:style>
  <w:style w:type="paragraph" w:styleId="7">
    <w:name w:val="Balloon Text"/>
    <w:basedOn w:val="1"/>
    <w:link w:val="27"/>
    <w:autoRedefine/>
    <w:qFormat/>
    <w:uiPriority w:val="0"/>
    <w:rPr>
      <w:sz w:val="18"/>
      <w:szCs w:val="18"/>
    </w:rPr>
  </w:style>
  <w:style w:type="paragraph" w:styleId="8">
    <w:name w:val="footer"/>
    <w:basedOn w:val="1"/>
    <w:autoRedefine/>
    <w:qFormat/>
    <w:uiPriority w:val="0"/>
    <w:pPr>
      <w:tabs>
        <w:tab w:val="center" w:pos="4153"/>
        <w:tab w:val="right" w:pos="8306"/>
      </w:tabs>
      <w:snapToGrid w:val="0"/>
      <w:jc w:val="left"/>
    </w:pPr>
    <w:rPr>
      <w:sz w:val="18"/>
    </w:rPr>
  </w:style>
  <w:style w:type="paragraph" w:styleId="9">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Body Text First Indent 2"/>
    <w:basedOn w:val="1"/>
    <w:qFormat/>
    <w:uiPriority w:val="99"/>
    <w:pPr>
      <w:widowControl/>
      <w:spacing w:after="120"/>
      <w:ind w:firstLine="210"/>
      <w:jc w:val="left"/>
    </w:pPr>
  </w:style>
  <w:style w:type="character" w:styleId="13">
    <w:name w:val="Strong"/>
    <w:basedOn w:val="12"/>
    <w:autoRedefine/>
    <w:qFormat/>
    <w:uiPriority w:val="0"/>
    <w:rPr>
      <w:b/>
      <w:bCs/>
    </w:rPr>
  </w:style>
  <w:style w:type="character" w:styleId="14">
    <w:name w:val="FollowedHyperlink"/>
    <w:basedOn w:val="12"/>
    <w:autoRedefine/>
    <w:qFormat/>
    <w:uiPriority w:val="0"/>
    <w:rPr>
      <w:color w:val="333333"/>
      <w:u w:val="none"/>
    </w:rPr>
  </w:style>
  <w:style w:type="character" w:styleId="15">
    <w:name w:val="Emphasis"/>
    <w:basedOn w:val="12"/>
    <w:autoRedefine/>
    <w:qFormat/>
    <w:uiPriority w:val="0"/>
    <w:rPr>
      <w:i/>
      <w:iCs/>
    </w:rPr>
  </w:style>
  <w:style w:type="character" w:styleId="16">
    <w:name w:val="HTML Definition"/>
    <w:basedOn w:val="12"/>
    <w:autoRedefine/>
    <w:qFormat/>
    <w:uiPriority w:val="0"/>
  </w:style>
  <w:style w:type="character" w:styleId="17">
    <w:name w:val="HTML Variable"/>
    <w:basedOn w:val="12"/>
    <w:autoRedefine/>
    <w:qFormat/>
    <w:uiPriority w:val="0"/>
  </w:style>
  <w:style w:type="character" w:styleId="18">
    <w:name w:val="Hyperlink"/>
    <w:basedOn w:val="12"/>
    <w:autoRedefine/>
    <w:qFormat/>
    <w:uiPriority w:val="0"/>
    <w:rPr>
      <w:color w:val="333333"/>
      <w:u w:val="none"/>
    </w:rPr>
  </w:style>
  <w:style w:type="character" w:styleId="19">
    <w:name w:val="HTML Code"/>
    <w:basedOn w:val="12"/>
    <w:autoRedefine/>
    <w:qFormat/>
    <w:uiPriority w:val="0"/>
    <w:rPr>
      <w:rFonts w:ascii="Courier New" w:hAnsi="Courier New"/>
      <w:sz w:val="20"/>
    </w:rPr>
  </w:style>
  <w:style w:type="character" w:styleId="20">
    <w:name w:val="HTML Cite"/>
    <w:basedOn w:val="12"/>
    <w:autoRedefine/>
    <w:qFormat/>
    <w:uiPriority w:val="0"/>
  </w:style>
  <w:style w:type="paragraph" w:customStyle="1" w:styleId="21">
    <w:name w:val="样式 标题 4 + 宋体"/>
    <w:basedOn w:val="2"/>
    <w:autoRedefine/>
    <w:qFormat/>
    <w:uiPriority w:val="0"/>
    <w:pPr>
      <w:ind w:left="588" w:firstLine="100" w:firstLineChars="100"/>
    </w:pPr>
    <w:rPr>
      <w:rFonts w:ascii="宋体" w:hAnsi="宋体"/>
    </w:rPr>
  </w:style>
  <w:style w:type="paragraph" w:customStyle="1" w:styleId="22">
    <w:name w:val="Body Text Indent 21"/>
    <w:basedOn w:val="1"/>
    <w:autoRedefine/>
    <w:qFormat/>
    <w:uiPriority w:val="0"/>
    <w:pPr>
      <w:spacing w:after="120" w:line="480" w:lineRule="auto"/>
      <w:ind w:left="420" w:leftChars="200"/>
    </w:pPr>
  </w:style>
  <w:style w:type="paragraph" w:customStyle="1" w:styleId="23">
    <w:name w:val="首行缩进"/>
    <w:basedOn w:val="1"/>
    <w:autoRedefine/>
    <w:qFormat/>
    <w:uiPriority w:val="0"/>
    <w:pPr>
      <w:spacing w:line="360" w:lineRule="auto"/>
      <w:ind w:firstLine="480" w:firstLineChars="200"/>
    </w:pPr>
    <w:rPr>
      <w:rFonts w:ascii="宋体" w:hAnsi="宋体" w:cs="宋体"/>
      <w:kern w:val="0"/>
      <w:sz w:val="24"/>
    </w:rPr>
  </w:style>
  <w:style w:type="character" w:customStyle="1" w:styleId="24">
    <w:name w:val="nth-child(1)"/>
    <w:basedOn w:val="12"/>
    <w:autoRedefine/>
    <w:qFormat/>
    <w:uiPriority w:val="0"/>
    <w:rPr>
      <w:b/>
      <w:bCs/>
      <w:sz w:val="24"/>
      <w:szCs w:val="24"/>
    </w:rPr>
  </w:style>
  <w:style w:type="character" w:customStyle="1" w:styleId="25">
    <w:name w:val="layui-laypage-curr"/>
    <w:basedOn w:val="12"/>
    <w:autoRedefine/>
    <w:qFormat/>
    <w:uiPriority w:val="0"/>
  </w:style>
  <w:style w:type="paragraph" w:customStyle="1" w:styleId="26">
    <w:name w:val="p0"/>
    <w:basedOn w:val="1"/>
    <w:autoRedefine/>
    <w:qFormat/>
    <w:uiPriority w:val="0"/>
    <w:pPr>
      <w:widowControl/>
      <w:spacing w:line="365" w:lineRule="atLeast"/>
      <w:ind w:left="1"/>
      <w:textAlignment w:val="bottom"/>
    </w:pPr>
    <w:rPr>
      <w:kern w:val="0"/>
      <w:sz w:val="20"/>
    </w:rPr>
  </w:style>
  <w:style w:type="character" w:customStyle="1" w:styleId="27">
    <w:name w:val="批注框文本 Char"/>
    <w:basedOn w:val="12"/>
    <w:link w:val="7"/>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Micorosoft</Company>
  <Pages>4</Pages>
  <Words>2675</Words>
  <Characters>3131</Characters>
  <Lines>4</Lines>
  <Paragraphs>6</Paragraphs>
  <TotalTime>178</TotalTime>
  <ScaleCrop>false</ScaleCrop>
  <LinksUpToDate>false</LinksUpToDate>
  <CharactersWithSpaces>3154</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2022-04-26T12:19:00Z</dcterms:created>
  <dc:creator>Lenovo</dc:creator>
  <cp:lastModifiedBy>32845</cp:lastModifiedBy>
  <cp:lastPrinted>2026-01-21T11:16:00Z</cp:lastPrinted>
  <dcterms:modified xsi:type="dcterms:W3CDTF">2026-08-19T06:04:03Z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commondata">
    <vt:lpwstr>eyJoZGlkIjoiODc3MWIwNDI2MzliNDVjMzM1M2M0MzExOTUwOGZjMDIifQ==</vt:lpwstr>
  </property>
  <property fmtid="{D5CDD505-2E9C-101B-9397-08002B2CF9AE}" pid="4" name="ICV">
    <vt:lpwstr>8EDCB4B5B6234796851764921A29334D_13</vt:lpwstr>
  </property>
  <property fmtid="{D5CDD505-2E9C-101B-9397-08002B2CF9AE}" pid="5" name="KSOTemplateDocerSaveRecord">
    <vt:lpwstr>eyJoZGlkIjoiZTUyMTQzNzkwZGNjMTkwM2UwOTI2OTcxODkwMzc5NjgiLCJ1c2VySWQiOiI1ODg4MTEwMzgifQ==</vt:lpwstr>
  </property>
</Properties>
</file>