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right="159"/>
        <w:outlineLvl w:val="1"/>
        <w:rPr>
          <w:rFonts w:ascii="仿宋_GB2312" w:eastAsia="仿宋_GB2312"/>
          <w:sz w:val="32"/>
          <w:szCs w:val="32"/>
        </w:rPr>
      </w:pPr>
      <w:r>
        <w:rPr>
          <w:rFonts w:hint="eastAsia" w:ascii="黑体" w:hAnsi="黑体" w:eastAsia="黑体"/>
          <w:sz w:val="32"/>
          <w:szCs w:val="32"/>
        </w:rPr>
        <w:t>附件</w:t>
      </w:r>
      <w:r>
        <w:rPr>
          <w:rFonts w:ascii="黑体" w:hAnsi="黑体" w:eastAsia="黑体"/>
          <w:sz w:val="32"/>
          <w:szCs w:val="32"/>
        </w:rPr>
        <w:t>3</w:t>
      </w:r>
    </w:p>
    <w:p>
      <w:pPr>
        <w:keepNext w:val="0"/>
        <w:keepLines w:val="0"/>
        <w:pageBreakBefore w:val="0"/>
        <w:widowControl/>
        <w:kinsoku/>
        <w:wordWrap/>
        <w:autoSpaceDE/>
        <w:autoSpaceDN/>
        <w:bidi w:val="0"/>
        <w:spacing w:line="360" w:lineRule="auto"/>
        <w:ind w:right="159"/>
        <w:jc w:val="center"/>
        <w:textAlignment w:val="auto"/>
        <w:outlineLvl w:val="2"/>
        <w:rPr>
          <w:rFonts w:ascii="仿宋_GB2312" w:eastAsia="仿宋_GB2312"/>
          <w:sz w:val="32"/>
          <w:szCs w:val="32"/>
        </w:rPr>
      </w:pPr>
      <w:r>
        <w:rPr>
          <w:rFonts w:hint="eastAsia" w:ascii="方正小标宋简体" w:hAnsi="宋体" w:eastAsia="方正小标宋简体"/>
          <w:sz w:val="44"/>
          <w:szCs w:val="44"/>
          <w:lang w:eastAsia="zh-CN"/>
        </w:rPr>
        <w:t>浙商银行兰州分行本级及兰内支行弱电维保服务</w:t>
      </w:r>
      <w:r>
        <w:rPr>
          <w:rFonts w:hint="eastAsia" w:ascii="方正小标宋简体" w:hAnsi="宋体" w:eastAsia="方正小标宋简体"/>
          <w:sz w:val="44"/>
          <w:szCs w:val="44"/>
        </w:rPr>
        <w:t>采购需求</w:t>
      </w:r>
    </w:p>
    <w:p>
      <w:pPr>
        <w:keepNext w:val="0"/>
        <w:keepLines w:val="0"/>
        <w:pageBreakBefore w:val="0"/>
        <w:numPr>
          <w:ilvl w:val="0"/>
          <w:numId w:val="1"/>
        </w:numPr>
        <w:kinsoku/>
        <w:wordWrap/>
        <w:autoSpaceDE/>
        <w:autoSpaceDN/>
        <w:bidi w:val="0"/>
        <w:spacing w:line="360" w:lineRule="auto"/>
        <w:ind w:firstLine="640" w:firstLineChars="200"/>
        <w:textAlignment w:val="auto"/>
        <w:rPr>
          <w:rFonts w:hint="eastAsia" w:ascii="黑体" w:hAnsi="黑体" w:eastAsia="黑体" w:cs="Times New Roman"/>
          <w:sz w:val="32"/>
          <w:szCs w:val="32"/>
        </w:rPr>
      </w:pPr>
      <w:r>
        <w:rPr>
          <w:rFonts w:hint="eastAsia" w:ascii="黑体" w:hAnsi="黑体" w:eastAsia="黑体" w:cs="Times New Roman"/>
          <w:sz w:val="32"/>
          <w:szCs w:val="32"/>
        </w:rPr>
        <w:t>采购项目概况</w:t>
      </w:r>
    </w:p>
    <w:tbl>
      <w:tblPr>
        <w:tblStyle w:val="10"/>
        <w:tblW w:w="48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1903"/>
        <w:gridCol w:w="5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422" w:type="pct"/>
            <w:shd w:val="clear" w:color="auto" w:fill="FFFFFF" w:themeFill="background1"/>
            <w:vAlign w:val="center"/>
          </w:tcPr>
          <w:p>
            <w:pPr>
              <w:keepNext w:val="0"/>
              <w:keepLines w:val="0"/>
              <w:pageBreakBefore w:val="0"/>
              <w:kinsoku/>
              <w:wordWrap/>
              <w:autoSpaceDE/>
              <w:autoSpaceDN/>
              <w:bidi w:val="0"/>
              <w:spacing w:line="360" w:lineRule="auto"/>
              <w:contextualSpacing/>
              <w:jc w:val="center"/>
              <w:textAlignment w:val="auto"/>
              <w:rPr>
                <w:rFonts w:ascii="宋体" w:hAnsi="宋体" w:eastAsia="宋体" w:cs="Times New Roman"/>
                <w:b/>
                <w:sz w:val="24"/>
                <w:szCs w:val="24"/>
              </w:rPr>
            </w:pPr>
            <w:r>
              <w:rPr>
                <w:rFonts w:hint="eastAsia" w:ascii="宋体" w:hAnsi="宋体" w:eastAsia="宋体" w:cs="Times New Roman"/>
                <w:b/>
                <w:sz w:val="24"/>
                <w:szCs w:val="24"/>
              </w:rPr>
              <w:t>序号</w:t>
            </w:r>
          </w:p>
        </w:tc>
        <w:tc>
          <w:tcPr>
            <w:tcW w:w="1142" w:type="pct"/>
            <w:shd w:val="clear" w:color="auto" w:fill="FFFFFF" w:themeFill="background1"/>
            <w:vAlign w:val="center"/>
          </w:tcPr>
          <w:p>
            <w:pPr>
              <w:keepNext w:val="0"/>
              <w:keepLines w:val="0"/>
              <w:pageBreakBefore w:val="0"/>
              <w:kinsoku/>
              <w:wordWrap/>
              <w:autoSpaceDE/>
              <w:autoSpaceDN/>
              <w:bidi w:val="0"/>
              <w:spacing w:line="360" w:lineRule="auto"/>
              <w:contextualSpacing/>
              <w:jc w:val="center"/>
              <w:textAlignment w:val="auto"/>
              <w:rPr>
                <w:rFonts w:ascii="宋体" w:hAnsi="宋体" w:eastAsia="宋体" w:cs="Times New Roman"/>
                <w:b/>
                <w:sz w:val="24"/>
                <w:szCs w:val="24"/>
              </w:rPr>
            </w:pPr>
            <w:r>
              <w:rPr>
                <w:rFonts w:hint="eastAsia" w:ascii="宋体" w:hAnsi="宋体" w:eastAsia="宋体" w:cs="Times New Roman"/>
                <w:b/>
                <w:sz w:val="24"/>
                <w:szCs w:val="24"/>
              </w:rPr>
              <w:t>内 容</w:t>
            </w:r>
          </w:p>
        </w:tc>
        <w:tc>
          <w:tcPr>
            <w:tcW w:w="3434" w:type="pct"/>
            <w:shd w:val="clear" w:color="auto" w:fill="FFFFFF" w:themeFill="background1"/>
            <w:vAlign w:val="center"/>
          </w:tcPr>
          <w:p>
            <w:pPr>
              <w:keepNext w:val="0"/>
              <w:keepLines w:val="0"/>
              <w:pageBreakBefore w:val="0"/>
              <w:kinsoku/>
              <w:wordWrap/>
              <w:autoSpaceDE/>
              <w:autoSpaceDN/>
              <w:bidi w:val="0"/>
              <w:spacing w:line="360" w:lineRule="auto"/>
              <w:contextualSpacing/>
              <w:jc w:val="center"/>
              <w:textAlignment w:val="auto"/>
              <w:rPr>
                <w:rFonts w:ascii="宋体" w:hAnsi="宋体" w:eastAsia="宋体" w:cs="Times New Roman"/>
                <w:b/>
                <w:sz w:val="24"/>
                <w:szCs w:val="24"/>
              </w:rPr>
            </w:pPr>
            <w:r>
              <w:rPr>
                <w:rFonts w:hint="eastAsia" w:ascii="宋体" w:hAnsi="宋体" w:eastAsia="宋体" w:cs="Times New Roman"/>
                <w:b/>
                <w:sz w:val="24"/>
                <w:szCs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422" w:type="pct"/>
            <w:vAlign w:val="center"/>
          </w:tcPr>
          <w:p>
            <w:pPr>
              <w:keepNext w:val="0"/>
              <w:keepLines w:val="0"/>
              <w:pageBreakBefore w:val="0"/>
              <w:kinsoku/>
              <w:wordWrap/>
              <w:autoSpaceDE/>
              <w:autoSpaceDN/>
              <w:bidi w:val="0"/>
              <w:spacing w:line="360" w:lineRule="auto"/>
              <w:contextualSpacing/>
              <w:jc w:val="center"/>
              <w:textAlignment w:val="auto"/>
              <w:rPr>
                <w:rFonts w:ascii="宋体" w:hAnsi="宋体" w:eastAsia="宋体" w:cs="Times New Roman"/>
                <w:sz w:val="24"/>
                <w:szCs w:val="24"/>
              </w:rPr>
            </w:pPr>
            <w:r>
              <w:rPr>
                <w:rFonts w:hint="eastAsia" w:ascii="宋体" w:hAnsi="宋体" w:eastAsia="宋体" w:cs="Times New Roman"/>
                <w:sz w:val="24"/>
                <w:szCs w:val="24"/>
              </w:rPr>
              <w:t>1</w:t>
            </w:r>
          </w:p>
        </w:tc>
        <w:tc>
          <w:tcPr>
            <w:tcW w:w="1142" w:type="pct"/>
            <w:vAlign w:val="center"/>
          </w:tcPr>
          <w:p>
            <w:pPr>
              <w:keepNext w:val="0"/>
              <w:keepLines w:val="0"/>
              <w:pageBreakBefore w:val="0"/>
              <w:kinsoku/>
              <w:wordWrap/>
              <w:autoSpaceDE/>
              <w:autoSpaceDN/>
              <w:bidi w:val="0"/>
              <w:spacing w:line="360" w:lineRule="auto"/>
              <w:contextualSpacing/>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3434" w:type="pct"/>
            <w:vAlign w:val="center"/>
          </w:tcPr>
          <w:p>
            <w:pPr>
              <w:keepNext w:val="0"/>
              <w:keepLines w:val="0"/>
              <w:pageBreakBefore w:val="0"/>
              <w:kinsoku/>
              <w:wordWrap/>
              <w:autoSpaceDE/>
              <w:autoSpaceDN/>
              <w:bidi w:val="0"/>
              <w:spacing w:line="360" w:lineRule="auto"/>
              <w:contextualSpacing/>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浙商银行兰州分行本级及辖内支行弱电维保</w:t>
            </w:r>
          </w:p>
          <w:p>
            <w:pPr>
              <w:keepNext w:val="0"/>
              <w:keepLines w:val="0"/>
              <w:pageBreakBefore w:val="0"/>
              <w:kinsoku/>
              <w:wordWrap/>
              <w:autoSpaceDE/>
              <w:autoSpaceDN/>
              <w:bidi w:val="0"/>
              <w:spacing w:line="360" w:lineRule="auto"/>
              <w:contextualSpacing/>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22" w:type="pct"/>
            <w:vAlign w:val="center"/>
          </w:tcPr>
          <w:p>
            <w:pPr>
              <w:keepNext w:val="0"/>
              <w:keepLines w:val="0"/>
              <w:pageBreakBefore w:val="0"/>
              <w:kinsoku/>
              <w:wordWrap/>
              <w:autoSpaceDE/>
              <w:autoSpaceDN/>
              <w:bidi w:val="0"/>
              <w:spacing w:line="360" w:lineRule="auto"/>
              <w:contextualSpacing/>
              <w:jc w:val="center"/>
              <w:textAlignment w:val="auto"/>
              <w:rPr>
                <w:rFonts w:ascii="宋体" w:hAnsi="宋体" w:eastAsia="宋体" w:cs="Times New Roman"/>
                <w:sz w:val="24"/>
                <w:szCs w:val="24"/>
              </w:rPr>
            </w:pPr>
            <w:r>
              <w:rPr>
                <w:rFonts w:hint="eastAsia" w:ascii="宋体" w:hAnsi="宋体" w:eastAsia="宋体" w:cs="Times New Roman"/>
                <w:sz w:val="24"/>
                <w:szCs w:val="24"/>
              </w:rPr>
              <w:t>2</w:t>
            </w:r>
          </w:p>
        </w:tc>
        <w:tc>
          <w:tcPr>
            <w:tcW w:w="1142" w:type="pct"/>
            <w:vAlign w:val="center"/>
          </w:tcPr>
          <w:p>
            <w:pPr>
              <w:keepNext w:val="0"/>
              <w:keepLines w:val="0"/>
              <w:pageBreakBefore w:val="0"/>
              <w:kinsoku/>
              <w:wordWrap/>
              <w:autoSpaceDE/>
              <w:autoSpaceDN/>
              <w:bidi w:val="0"/>
              <w:spacing w:line="360" w:lineRule="auto"/>
              <w:contextualSpacing/>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项目背景</w:t>
            </w:r>
          </w:p>
        </w:tc>
        <w:tc>
          <w:tcPr>
            <w:tcW w:w="3434" w:type="pct"/>
            <w:vAlign w:val="center"/>
          </w:tcPr>
          <w:p>
            <w:pPr>
              <w:keepNext w:val="0"/>
              <w:keepLines w:val="0"/>
              <w:pageBreakBefore w:val="0"/>
              <w:kinsoku/>
              <w:wordWrap/>
              <w:autoSpaceDE/>
              <w:autoSpaceDN/>
              <w:bidi w:val="0"/>
              <w:spacing w:line="360" w:lineRule="auto"/>
              <w:ind w:firstLine="480" w:firstLineChars="200"/>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根据监管机构、总行安全保卫工作要求，为保证浙商银行兰州分行及辖内支行弱电设施、设备正常运行，确保大楼及支行营业办公场所安防工作稳定，拟对分行本级及辖内五家支行弱电设施设备进行维保服务。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22" w:type="pct"/>
            <w:vAlign w:val="center"/>
          </w:tcPr>
          <w:p>
            <w:pPr>
              <w:keepNext w:val="0"/>
              <w:keepLines w:val="0"/>
              <w:pageBreakBefore w:val="0"/>
              <w:kinsoku/>
              <w:wordWrap/>
              <w:autoSpaceDE/>
              <w:autoSpaceDN/>
              <w:bidi w:val="0"/>
              <w:spacing w:line="360" w:lineRule="auto"/>
              <w:contextualSpacing/>
              <w:jc w:val="center"/>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w:t>
            </w:r>
          </w:p>
        </w:tc>
        <w:tc>
          <w:tcPr>
            <w:tcW w:w="1142" w:type="pct"/>
            <w:vAlign w:val="center"/>
          </w:tcPr>
          <w:p>
            <w:pPr>
              <w:keepNext w:val="0"/>
              <w:keepLines w:val="0"/>
              <w:pageBreakBefore w:val="0"/>
              <w:kinsoku/>
              <w:wordWrap/>
              <w:autoSpaceDE/>
              <w:autoSpaceDN/>
              <w:bidi w:val="0"/>
              <w:spacing w:line="360" w:lineRule="auto"/>
              <w:contextualSpacing/>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项目内容</w:t>
            </w:r>
          </w:p>
        </w:tc>
        <w:tc>
          <w:tcPr>
            <w:tcW w:w="3434" w:type="pct"/>
            <w:vAlign w:val="center"/>
          </w:tcPr>
          <w:p>
            <w:pPr>
              <w:keepNext w:val="0"/>
              <w:keepLines w:val="0"/>
              <w:pageBreakBefore w:val="0"/>
              <w:kinsoku/>
              <w:wordWrap/>
              <w:autoSpaceDE/>
              <w:autoSpaceDN/>
              <w:bidi w:val="0"/>
              <w:spacing w:line="360" w:lineRule="auto"/>
              <w:ind w:firstLine="480" w:firstLineChars="200"/>
              <w:contextualSpacing/>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兰州分行本级辖内五家支行弱电维保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422" w:type="pct"/>
            <w:vAlign w:val="center"/>
          </w:tcPr>
          <w:p>
            <w:pPr>
              <w:keepNext w:val="0"/>
              <w:keepLines w:val="0"/>
              <w:pageBreakBefore w:val="0"/>
              <w:kinsoku/>
              <w:wordWrap/>
              <w:autoSpaceDE/>
              <w:autoSpaceDN/>
              <w:bidi w:val="0"/>
              <w:spacing w:line="360" w:lineRule="auto"/>
              <w:contextualSpacing/>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1142" w:type="pct"/>
            <w:vAlign w:val="center"/>
          </w:tcPr>
          <w:p>
            <w:pPr>
              <w:keepNext w:val="0"/>
              <w:keepLines w:val="0"/>
              <w:pageBreakBefore w:val="0"/>
              <w:kinsoku/>
              <w:wordWrap/>
              <w:autoSpaceDE/>
              <w:autoSpaceDN/>
              <w:bidi w:val="0"/>
              <w:spacing w:line="360" w:lineRule="auto"/>
              <w:contextualSpacing/>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重要性分析</w:t>
            </w:r>
          </w:p>
        </w:tc>
        <w:tc>
          <w:tcPr>
            <w:tcW w:w="3434" w:type="pct"/>
            <w:vAlign w:val="center"/>
          </w:tcPr>
          <w:p>
            <w:pPr>
              <w:ind w:firstLine="480" w:firstLineChars="200"/>
              <w:jc w:val="left"/>
              <w:rPr>
                <w:rFonts w:hint="eastAsia" w:ascii="仿宋_GB2312" w:hAnsi="仿宋_GB2312" w:eastAsia="仿宋_GB2312" w:cs="仿宋_GB2312"/>
                <w:sz w:val="24"/>
                <w:szCs w:val="24"/>
                <w:highlight w:val="yellow"/>
                <w:lang w:val="en-US" w:eastAsia="zh-CN"/>
              </w:rPr>
            </w:pPr>
            <w:r>
              <w:rPr>
                <w:rFonts w:hint="eastAsia" w:ascii="仿宋_GB2312" w:hAnsi="仿宋_GB2312" w:eastAsia="仿宋_GB2312" w:cs="仿宋_GB2312"/>
                <w:sz w:val="24"/>
                <w:szCs w:val="24"/>
                <w:lang w:val="en-US" w:eastAsia="zh-CN"/>
              </w:rPr>
              <w:t>做好弱电系统维护保养可</w:t>
            </w:r>
            <w:r>
              <w:rPr>
                <w:rFonts w:hint="eastAsia" w:ascii="仿宋_GB2312" w:hAnsi="仿宋_GB2312" w:eastAsia="仿宋_GB2312" w:cs="仿宋_GB2312"/>
                <w:sz w:val="24"/>
                <w:szCs w:val="24"/>
                <w:highlight w:val="none"/>
                <w:lang w:val="en-US" w:eastAsia="zh-CN"/>
              </w:rPr>
              <w:t>保障系统稳定运行、延长设备使用寿命、提升安全性能、提高应急响应能力，</w:t>
            </w:r>
            <w:r>
              <w:rPr>
                <w:rFonts w:hint="eastAsia" w:ascii="仿宋_GB2312" w:hAnsi="仿宋_GB2312" w:eastAsia="仿宋_GB2312" w:cs="仿宋_GB2312"/>
                <w:sz w:val="24"/>
                <w:szCs w:val="24"/>
                <w:lang w:val="en-US" w:eastAsia="zh-CN"/>
              </w:rPr>
              <w:t>对大楼及支行营业办公场所安防和监控等的稳定运行有着非常重要的作用。</w:t>
            </w:r>
          </w:p>
        </w:tc>
      </w:tr>
    </w:tbl>
    <w:p>
      <w:pPr>
        <w:keepNext w:val="0"/>
        <w:keepLines w:val="0"/>
        <w:pageBreakBefore w:val="0"/>
        <w:numPr>
          <w:ilvl w:val="0"/>
          <w:numId w:val="0"/>
        </w:numPr>
        <w:kinsoku/>
        <w:wordWrap/>
        <w:overflowPunct w:val="0"/>
        <w:topLinePunct/>
        <w:autoSpaceDE/>
        <w:autoSpaceDN/>
        <w:bidi w:val="0"/>
        <w:adjustRightInd w:val="0"/>
        <w:snapToGrid w:val="0"/>
        <w:spacing w:line="360" w:lineRule="auto"/>
        <w:textAlignment w:val="auto"/>
        <w:rPr>
          <w:rFonts w:hint="eastAsia" w:ascii="仿宋_GB2312" w:hAnsi="仿宋_GB2312" w:eastAsia="仿宋_GB2312" w:cs="仿宋_GB2312"/>
          <w:b/>
          <w:color w:val="000000" w:themeColor="text1"/>
          <w:sz w:val="32"/>
          <w:szCs w:val="32"/>
          <w14:textFill>
            <w14:solidFill>
              <w14:schemeClr w14:val="tx1"/>
            </w14:solidFill>
          </w14:textFill>
        </w:rPr>
      </w:pP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二、采购项目标项划分</w:t>
      </w:r>
    </w:p>
    <w:p>
      <w:pPr>
        <w:spacing w:line="560" w:lineRule="exact"/>
        <w:ind w:left="638" w:leftChars="304" w:firstLine="0" w:firstLineChars="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名    称：</w:t>
      </w:r>
      <w:r>
        <w:rPr>
          <w:rFonts w:hint="eastAsia" w:ascii="仿宋_GB2312" w:hAnsi="仿宋_GB2312" w:eastAsia="仿宋_GB2312" w:cs="仿宋_GB2312"/>
          <w:i w:val="0"/>
          <w:iCs w:val="0"/>
          <w:sz w:val="30"/>
          <w:szCs w:val="30"/>
          <w:u w:val="single"/>
          <w:lang w:val="en-US" w:eastAsia="zh-CN"/>
        </w:rPr>
        <w:t>浙商银行兰州分行弱电维保服务采购</w:t>
      </w:r>
      <w:r>
        <w:rPr>
          <w:rFonts w:hint="eastAsia" w:ascii="仿宋_GB2312" w:hAnsi="仿宋_GB2312" w:eastAsia="仿宋_GB2312" w:cs="仿宋_GB2312"/>
          <w:i w:val="0"/>
          <w:iCs w:val="0"/>
          <w:sz w:val="30"/>
          <w:szCs w:val="30"/>
          <w:u w:val="single"/>
        </w:rPr>
        <w:t>项目</w:t>
      </w:r>
      <w:r>
        <w:rPr>
          <w:rFonts w:hint="eastAsia" w:ascii="仿宋_GB2312" w:hAnsi="仿宋_GB2312" w:eastAsia="仿宋_GB2312" w:cs="仿宋_GB2312"/>
          <w:i w:val="0"/>
          <w:iCs w:val="0"/>
          <w:sz w:val="30"/>
          <w:szCs w:val="30"/>
        </w:rPr>
        <w:t xml:space="preserve"> </w:t>
      </w:r>
    </w:p>
    <w:p>
      <w:pPr>
        <w:spacing w:line="560" w:lineRule="exact"/>
        <w:ind w:firstLine="600" w:firstLineChars="200"/>
        <w:rPr>
          <w:rFonts w:hint="eastAsia" w:ascii="仿宋_GB2312" w:hAnsi="仿宋_GB2312" w:eastAsia="仿宋_GB2312" w:cs="仿宋_GB2312"/>
          <w:sz w:val="21"/>
          <w:szCs w:val="21"/>
          <w:u w:val="single"/>
        </w:rPr>
      </w:pPr>
      <w:r>
        <w:rPr>
          <w:rFonts w:hint="eastAsia" w:ascii="仿宋_GB2312" w:hAnsi="仿宋_GB2312" w:eastAsia="仿宋_GB2312" w:cs="仿宋_GB2312"/>
          <w:sz w:val="30"/>
          <w:szCs w:val="30"/>
          <w:lang w:eastAsia="zh-CN"/>
        </w:rPr>
        <w:t>最高限价</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9.5万元，大写：</w:t>
      </w:r>
      <w:r>
        <w:rPr>
          <w:rFonts w:hint="eastAsia" w:ascii="仿宋_GB2312" w:hAnsi="仿宋_GB2312" w:eastAsia="仿宋_GB2312" w:cs="仿宋_GB2312"/>
          <w:i w:val="0"/>
          <w:iCs w:val="0"/>
          <w:sz w:val="30"/>
          <w:szCs w:val="30"/>
          <w:highlight w:val="none"/>
          <w:u w:val="single"/>
          <w:lang w:val="en-US" w:eastAsia="zh-CN"/>
        </w:rPr>
        <w:t>（玖万伍仟元整）</w:t>
      </w:r>
      <w:r>
        <w:rPr>
          <w:rFonts w:hint="eastAsia" w:ascii="仿宋_GB2312" w:hAnsi="仿宋_GB2312" w:eastAsia="仿宋_GB2312" w:cs="仿宋_GB2312"/>
          <w:i w:val="0"/>
          <w:iCs w:val="0"/>
          <w:sz w:val="30"/>
          <w:szCs w:val="30"/>
          <w:u w:val="single"/>
          <w:lang w:val="en-US" w:eastAsia="zh-CN"/>
        </w:rPr>
        <w:t xml:space="preserve"> </w:t>
      </w:r>
    </w:p>
    <w:p>
      <w:pPr>
        <w:spacing w:line="560" w:lineRule="exact"/>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采购类型：</w:t>
      </w:r>
      <w:r>
        <w:rPr>
          <w:rFonts w:hint="eastAsia" w:ascii="仿宋_GB2312" w:hAnsi="仿宋_GB2312" w:eastAsia="仿宋_GB2312" w:cs="仿宋_GB2312"/>
          <w:sz w:val="30"/>
          <w:szCs w:val="30"/>
          <w:lang w:eastAsia="zh-CN"/>
        </w:rPr>
        <w:sym w:font="Wingdings 2" w:char="0052"/>
      </w:r>
      <w:r>
        <w:rPr>
          <w:rFonts w:hint="eastAsia" w:ascii="仿宋_GB2312" w:hAnsi="仿宋_GB2312" w:eastAsia="仿宋_GB2312" w:cs="仿宋_GB2312"/>
          <w:sz w:val="30"/>
          <w:szCs w:val="30"/>
        </w:rPr>
        <w:t>中标（成交）一家供应商</w:t>
      </w:r>
      <w:r>
        <w:rPr>
          <w:rFonts w:hint="eastAsia" w:ascii="仿宋_GB2312" w:hAnsi="仿宋_GB2312" w:eastAsia="仿宋_GB2312" w:cs="仿宋_GB2312"/>
          <w:sz w:val="30"/>
          <w:szCs w:val="30"/>
          <w:lang w:eastAsia="zh-CN"/>
        </w:rPr>
        <w:t>，本项目成交供应商拟采取“一主一备”模式，通过简易采购得分第一的为主供应商，得分第二的供应商作为备选供应商。如遇成交供应商合同需终止的情形（如：考评不合格、出现重大安全责任事故等）将终止合同，并与备选供应商签订合同。</w:t>
      </w:r>
    </w:p>
    <w:p>
      <w:pPr>
        <w:spacing w:line="560" w:lineRule="exact"/>
        <w:ind w:firstLine="600" w:firstLineChars="200"/>
        <w:rPr>
          <w:rFonts w:hint="eastAsia" w:ascii="仿宋_GB2312" w:hAnsi="仿宋_GB2312" w:eastAsia="仿宋_GB2312" w:cs="仿宋_GB2312"/>
          <w:sz w:val="30"/>
          <w:szCs w:val="30"/>
        </w:rPr>
      </w:pPr>
    </w:p>
    <w:p>
      <w:pPr>
        <w:spacing w:line="560" w:lineRule="exact"/>
        <w:ind w:firstLine="600" w:firstLineChars="200"/>
        <w:rPr>
          <w:rFonts w:hint="eastAsia" w:ascii="仿宋_GB2312" w:hAnsi="仿宋_GB2312" w:eastAsia="仿宋_GB2312" w:cs="仿宋_GB2312"/>
          <w:iCs/>
          <w:sz w:val="30"/>
          <w:szCs w:val="30"/>
        </w:rPr>
      </w:pPr>
      <w:r>
        <w:rPr>
          <w:rFonts w:hint="eastAsia" w:ascii="仿宋_GB2312" w:hAnsi="仿宋_GB2312" w:eastAsia="仿宋_GB2312" w:cs="仿宋_GB2312"/>
          <w:sz w:val="30"/>
          <w:szCs w:val="30"/>
        </w:rPr>
        <w:t>是否涉密：</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否</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iCs/>
          <w:sz w:val="30"/>
          <w:szCs w:val="30"/>
        </w:rPr>
        <w:t>（相关批准文件或证明材料附后）</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三、项目基本内容</w:t>
      </w:r>
    </w:p>
    <w:tbl>
      <w:tblPr>
        <w:tblStyle w:val="11"/>
        <w:tblW w:w="8619"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619" w:type="dxa"/>
            <w:vAlign w:val="center"/>
          </w:tcPr>
          <w:p>
            <w:pPr>
              <w:contextualSpacing/>
              <w:jc w:val="center"/>
              <w:outlineLvl w:val="1"/>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8" w:hRule="atLeast"/>
        </w:trPr>
        <w:tc>
          <w:tcPr>
            <w:tcW w:w="8619" w:type="dxa"/>
            <w:vAlign w:val="center"/>
          </w:tcPr>
          <w:p>
            <w:pPr>
              <w:keepNext w:val="0"/>
              <w:keepLines w:val="0"/>
              <w:pageBreakBefore w:val="0"/>
              <w:widowControl/>
              <w:kinsoku/>
              <w:wordWrap/>
              <w:overflowPunct/>
              <w:topLinePunct w:val="0"/>
              <w:autoSpaceDE/>
              <w:autoSpaceDN/>
              <w:bidi w:val="0"/>
              <w:adjustRightInd w:val="0"/>
              <w:snapToGrid w:val="0"/>
              <w:textAlignment w:val="auto"/>
              <w:rPr>
                <w:rFonts w:hint="eastAsia" w:ascii="宋体" w:hAnsi="宋体" w:cs="Times New Roman" w:eastAsiaTheme="minorEastAsia"/>
                <w:kern w:val="0"/>
                <w:sz w:val="24"/>
                <w:szCs w:val="24"/>
                <w:highlight w:val="none"/>
                <w:lang w:val="en-US" w:eastAsia="zh-CN"/>
              </w:rPr>
            </w:pPr>
            <w:r>
              <w:rPr>
                <w:rFonts w:hint="eastAsia" w:ascii="仿宋_GB2312" w:hAnsi="楷体" w:eastAsia="仿宋_GB2312" w:cs="楷体"/>
                <w:b/>
                <w:bCs/>
                <w:i w:val="0"/>
                <w:iCs w:val="0"/>
                <w:sz w:val="30"/>
                <w:szCs w:val="30"/>
                <w:highlight w:val="none"/>
                <w:lang w:val="en-US" w:eastAsia="zh-CN"/>
              </w:rPr>
              <w:t>兰州分行</w:t>
            </w:r>
            <w:r>
              <w:rPr>
                <w:rFonts w:hint="eastAsia" w:ascii="仿宋_GB2312" w:hAnsi="楷体" w:eastAsia="仿宋_GB2312" w:cs="楷体"/>
                <w:i w:val="0"/>
                <w:iCs w:val="0"/>
                <w:sz w:val="30"/>
                <w:szCs w:val="30"/>
                <w:highlight w:val="none"/>
                <w:lang w:val="en-US" w:eastAsia="zh-CN"/>
              </w:rPr>
              <w:t>：维保设备录像机</w:t>
            </w:r>
            <w:r>
              <w:rPr>
                <w:rFonts w:hint="eastAsia" w:ascii="仿宋_GB2312" w:hAnsi="楷体" w:eastAsia="仿宋_GB2312" w:cs="楷体"/>
                <w:i w:val="0"/>
                <w:iCs w:val="0"/>
                <w:sz w:val="30"/>
                <w:szCs w:val="30"/>
                <w:highlight w:val="none"/>
              </w:rPr>
              <w:t>26台</w:t>
            </w:r>
            <w:r>
              <w:rPr>
                <w:rFonts w:hint="eastAsia" w:ascii="仿宋_GB2312" w:hAnsi="楷体" w:eastAsia="仿宋_GB2312" w:cs="楷体"/>
                <w:i w:val="0"/>
                <w:iCs w:val="0"/>
                <w:sz w:val="30"/>
                <w:szCs w:val="30"/>
                <w:highlight w:val="none"/>
                <w:lang w:val="en-US" w:eastAsia="zh-CN"/>
              </w:rPr>
              <w:t>;摄像机：</w:t>
            </w:r>
            <w:r>
              <w:rPr>
                <w:rFonts w:hint="eastAsia" w:ascii="仿宋_GB2312" w:hAnsi="楷体" w:eastAsia="仿宋_GB2312" w:cs="楷体"/>
                <w:i w:val="0"/>
                <w:iCs w:val="0"/>
                <w:sz w:val="30"/>
                <w:szCs w:val="30"/>
                <w:highlight w:val="none"/>
              </w:rPr>
              <w:t>336</w:t>
            </w:r>
            <w:r>
              <w:rPr>
                <w:rFonts w:hint="eastAsia" w:ascii="仿宋_GB2312" w:hAnsi="楷体" w:eastAsia="仿宋_GB2312" w:cs="楷体"/>
                <w:i w:val="0"/>
                <w:iCs w:val="0"/>
                <w:sz w:val="30"/>
                <w:szCs w:val="30"/>
                <w:highlight w:val="none"/>
                <w:lang w:eastAsia="zh-CN"/>
              </w:rPr>
              <w:t>台</w:t>
            </w:r>
            <w:r>
              <w:rPr>
                <w:rFonts w:hint="eastAsia" w:ascii="仿宋_GB2312" w:hAnsi="楷体" w:eastAsia="仿宋_GB2312" w:cs="楷体"/>
                <w:i w:val="0"/>
                <w:iCs w:val="0"/>
                <w:sz w:val="30"/>
                <w:szCs w:val="30"/>
                <w:highlight w:val="none"/>
                <w:lang w:val="en-US" w:eastAsia="zh-CN"/>
              </w:rPr>
              <w:t>;</w:t>
            </w:r>
            <w:r>
              <w:rPr>
                <w:rFonts w:hint="eastAsia" w:ascii="仿宋_GB2312" w:hAnsi="楷体" w:eastAsia="仿宋_GB2312" w:cs="楷体"/>
                <w:i w:val="0"/>
                <w:iCs w:val="0"/>
                <w:sz w:val="30"/>
                <w:szCs w:val="30"/>
                <w:highlight w:val="none"/>
                <w:lang w:eastAsia="zh-CN"/>
              </w:rPr>
              <w:t>报警防区：</w:t>
            </w:r>
            <w:r>
              <w:rPr>
                <w:rFonts w:hint="eastAsia" w:ascii="仿宋_GB2312" w:hAnsi="楷体" w:eastAsia="仿宋_GB2312" w:cs="楷体"/>
                <w:i w:val="0"/>
                <w:iCs w:val="0"/>
                <w:sz w:val="30"/>
                <w:szCs w:val="30"/>
                <w:highlight w:val="none"/>
                <w:lang w:val="en-US" w:eastAsia="zh-CN"/>
              </w:rPr>
              <w:t>92路；门禁设备：48套；语音对讲主机：1套；语音对讲面板：3套；震动探测器：7个；网络交换机：10台；机架式电源：15台；STS设备：1套停车场管理系统：1套；</w:t>
            </w:r>
            <w:r>
              <w:rPr>
                <w:rFonts w:hint="eastAsia" w:asciiTheme="minorEastAsia" w:hAnsiTheme="minorEastAsia" w:eastAsiaTheme="minorEastAsia" w:cstheme="minorEastAsia"/>
                <w:b/>
                <w:bCs/>
                <w:color w:val="000000"/>
                <w:sz w:val="28"/>
                <w:szCs w:val="28"/>
                <w:highlight w:val="none"/>
              </w:rPr>
              <w:t>东部支行</w:t>
            </w:r>
            <w:r>
              <w:rPr>
                <w:rFonts w:hint="eastAsia" w:asciiTheme="minorEastAsia" w:hAnsiTheme="minorEastAsia" w:cstheme="minorEastAsia"/>
                <w:color w:val="000000"/>
                <w:sz w:val="28"/>
                <w:szCs w:val="28"/>
                <w:highlight w:val="none"/>
                <w:lang w:eastAsia="zh-CN"/>
              </w:rPr>
              <w:t>：</w:t>
            </w:r>
            <w:r>
              <w:rPr>
                <w:rFonts w:hint="eastAsia" w:asciiTheme="minorEastAsia" w:hAnsiTheme="minorEastAsia" w:eastAsiaTheme="minorEastAsia" w:cstheme="minorEastAsia"/>
                <w:color w:val="000000"/>
                <w:sz w:val="28"/>
                <w:szCs w:val="28"/>
                <w:highlight w:val="none"/>
                <w:lang w:eastAsia="zh-CN"/>
              </w:rPr>
              <w:t>维保设备</w:t>
            </w:r>
            <w:r>
              <w:rPr>
                <w:rFonts w:hint="eastAsia" w:asciiTheme="minorEastAsia" w:hAnsiTheme="minorEastAsia" w:eastAsiaTheme="minorEastAsia" w:cstheme="minorEastAsia"/>
                <w:color w:val="000000"/>
                <w:sz w:val="28"/>
                <w:szCs w:val="28"/>
                <w:highlight w:val="none"/>
                <w:lang w:val="en-US" w:eastAsia="zh-CN"/>
              </w:rPr>
              <w:t>录像机：8</w:t>
            </w:r>
            <w:r>
              <w:rPr>
                <w:rFonts w:hint="eastAsia" w:asciiTheme="minorEastAsia" w:hAnsiTheme="minorEastAsia" w:eastAsiaTheme="minorEastAsia" w:cstheme="minorEastAsia"/>
                <w:color w:val="000000"/>
                <w:sz w:val="28"/>
                <w:szCs w:val="28"/>
                <w:highlight w:val="none"/>
              </w:rPr>
              <w:t>台</w:t>
            </w:r>
            <w:r>
              <w:rPr>
                <w:rFonts w:hint="eastAsia" w:asciiTheme="minorEastAsia" w:hAnsiTheme="minorEastAsia" w:cstheme="minorEastAsia"/>
                <w:color w:val="000000"/>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摄像机：</w:t>
            </w:r>
            <w:r>
              <w:rPr>
                <w:rFonts w:hint="eastAsia" w:asciiTheme="minorEastAsia" w:hAnsiTheme="minorEastAsia" w:eastAsiaTheme="minorEastAsia" w:cstheme="minorEastAsia"/>
                <w:color w:val="000000"/>
                <w:sz w:val="28"/>
                <w:szCs w:val="28"/>
                <w:highlight w:val="none"/>
                <w:lang w:val="en-US" w:eastAsia="zh-CN"/>
              </w:rPr>
              <w:t>79台</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eastAsia="zh-CN"/>
              </w:rPr>
              <w:t>报警防区：</w:t>
            </w:r>
            <w:r>
              <w:rPr>
                <w:rFonts w:hint="eastAsia" w:asciiTheme="minorEastAsia" w:hAnsiTheme="minorEastAsia" w:eastAsiaTheme="minorEastAsia" w:cstheme="minorEastAsia"/>
                <w:color w:val="000000"/>
                <w:sz w:val="28"/>
                <w:szCs w:val="28"/>
                <w:highlight w:val="none"/>
                <w:lang w:val="en-US" w:eastAsia="zh-CN"/>
              </w:rPr>
              <w:t>13个</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门禁设备：9套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语音对讲主机：1套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语音对讲面板：2套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震动探测器：5个</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网络交换机：4台</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机架式电源：3台</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STS设备：1套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b/>
                <w:bCs/>
                <w:color w:val="000000"/>
                <w:sz w:val="28"/>
                <w:szCs w:val="28"/>
                <w:highlight w:val="none"/>
              </w:rPr>
              <w:t>七里河支行</w:t>
            </w:r>
            <w:r>
              <w:rPr>
                <w:rFonts w:hint="eastAsia" w:asciiTheme="minorEastAsia" w:hAnsiTheme="minorEastAsia" w:cstheme="minorEastAsia"/>
                <w:b/>
                <w:bCs/>
                <w:color w:val="000000"/>
                <w:sz w:val="28"/>
                <w:szCs w:val="28"/>
                <w:highlight w:val="none"/>
                <w:lang w:eastAsia="zh-CN"/>
              </w:rPr>
              <w:t>：</w:t>
            </w:r>
            <w:r>
              <w:rPr>
                <w:rFonts w:hint="eastAsia" w:asciiTheme="minorEastAsia" w:hAnsiTheme="minorEastAsia" w:eastAsiaTheme="minorEastAsia" w:cstheme="minorEastAsia"/>
                <w:color w:val="000000"/>
                <w:sz w:val="28"/>
                <w:szCs w:val="28"/>
                <w:highlight w:val="none"/>
                <w:lang w:eastAsia="zh-CN"/>
              </w:rPr>
              <w:t>维保设备</w:t>
            </w:r>
            <w:r>
              <w:rPr>
                <w:rFonts w:hint="eastAsia" w:asciiTheme="minorEastAsia" w:hAnsiTheme="minorEastAsia" w:eastAsiaTheme="minorEastAsia" w:cstheme="minorEastAsia"/>
                <w:sz w:val="28"/>
                <w:szCs w:val="28"/>
                <w:highlight w:val="none"/>
                <w:lang w:val="en-US" w:eastAsia="zh-CN"/>
              </w:rPr>
              <w:t>摄像机：</w:t>
            </w:r>
            <w:r>
              <w:rPr>
                <w:rFonts w:hint="eastAsia" w:asciiTheme="minorEastAsia" w:hAnsiTheme="minorEastAsia" w:eastAsiaTheme="minorEastAsia" w:cstheme="minorEastAsia"/>
                <w:color w:val="000000"/>
                <w:sz w:val="28"/>
                <w:szCs w:val="28"/>
                <w:highlight w:val="none"/>
                <w:lang w:val="en-US" w:eastAsia="zh-CN"/>
              </w:rPr>
              <w:t>65台</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录像机：8</w:t>
            </w:r>
            <w:r>
              <w:rPr>
                <w:rFonts w:hint="eastAsia" w:asciiTheme="minorEastAsia" w:hAnsiTheme="minorEastAsia" w:eastAsiaTheme="minorEastAsia" w:cstheme="minorEastAsia"/>
                <w:color w:val="000000"/>
                <w:sz w:val="28"/>
                <w:szCs w:val="28"/>
                <w:highlight w:val="none"/>
              </w:rPr>
              <w:t>台</w:t>
            </w:r>
            <w:r>
              <w:rPr>
                <w:rFonts w:hint="eastAsia" w:asciiTheme="minorEastAsia" w:hAnsiTheme="minorEastAsia" w:cstheme="minorEastAsia"/>
                <w:color w:val="000000"/>
                <w:sz w:val="28"/>
                <w:szCs w:val="28"/>
                <w:highlight w:val="none"/>
                <w:lang w:eastAsia="zh-CN"/>
              </w:rPr>
              <w:t>；</w:t>
            </w:r>
            <w:r>
              <w:rPr>
                <w:rFonts w:hint="eastAsia" w:asciiTheme="minorEastAsia" w:hAnsiTheme="minorEastAsia" w:eastAsiaTheme="minorEastAsia" w:cstheme="minorEastAsia"/>
                <w:color w:val="000000"/>
                <w:sz w:val="28"/>
                <w:szCs w:val="28"/>
                <w:highlight w:val="none"/>
                <w:lang w:eastAsia="zh-CN"/>
              </w:rPr>
              <w:t>报警防区：</w:t>
            </w:r>
            <w:r>
              <w:rPr>
                <w:rFonts w:hint="eastAsia" w:asciiTheme="minorEastAsia" w:hAnsiTheme="minorEastAsia" w:eastAsiaTheme="minorEastAsia" w:cstheme="minorEastAsia"/>
                <w:color w:val="000000"/>
                <w:sz w:val="28"/>
                <w:szCs w:val="28"/>
                <w:highlight w:val="none"/>
                <w:lang w:val="en-US" w:eastAsia="zh-CN"/>
              </w:rPr>
              <w:t>35个</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门禁设备：14套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语音对讲主机：1套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语音对讲面板：1套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震动探测器：3个</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网络交换机：3台机架式电源：6台</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STS设备：1套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b/>
                <w:bCs/>
                <w:color w:val="000000"/>
                <w:sz w:val="28"/>
                <w:szCs w:val="28"/>
                <w:highlight w:val="none"/>
              </w:rPr>
              <w:t>安宁支行</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eastAsia="zh-CN"/>
              </w:rPr>
              <w:t>维保设备</w:t>
            </w:r>
            <w:r>
              <w:rPr>
                <w:rFonts w:hint="eastAsia" w:asciiTheme="minorEastAsia" w:hAnsiTheme="minorEastAsia" w:eastAsiaTheme="minorEastAsia" w:cstheme="minorEastAsia"/>
                <w:sz w:val="28"/>
                <w:szCs w:val="28"/>
                <w:highlight w:val="none"/>
                <w:lang w:val="en-US" w:eastAsia="zh-CN"/>
              </w:rPr>
              <w:t>摄像机：</w:t>
            </w:r>
            <w:r>
              <w:rPr>
                <w:rFonts w:hint="eastAsia" w:asciiTheme="minorEastAsia" w:hAnsiTheme="minorEastAsia" w:eastAsiaTheme="minorEastAsia" w:cstheme="minorEastAsia"/>
                <w:color w:val="000000"/>
                <w:sz w:val="28"/>
                <w:szCs w:val="28"/>
                <w:highlight w:val="none"/>
                <w:lang w:val="en-US" w:eastAsia="zh-CN"/>
              </w:rPr>
              <w:t>68台</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录像机：8</w:t>
            </w:r>
            <w:r>
              <w:rPr>
                <w:rFonts w:hint="eastAsia" w:asciiTheme="minorEastAsia" w:hAnsiTheme="minorEastAsia" w:eastAsiaTheme="minorEastAsia" w:cstheme="minorEastAsia"/>
                <w:color w:val="000000"/>
                <w:sz w:val="28"/>
                <w:szCs w:val="28"/>
                <w:highlight w:val="none"/>
              </w:rPr>
              <w:t>台</w:t>
            </w:r>
            <w:r>
              <w:rPr>
                <w:rFonts w:hint="eastAsia" w:asciiTheme="minorEastAsia" w:hAnsiTheme="minorEastAsia" w:cstheme="minorEastAsia"/>
                <w:color w:val="000000"/>
                <w:sz w:val="28"/>
                <w:szCs w:val="28"/>
                <w:highlight w:val="none"/>
                <w:lang w:eastAsia="zh-CN"/>
              </w:rPr>
              <w:t>；</w:t>
            </w:r>
            <w:r>
              <w:rPr>
                <w:rFonts w:hint="eastAsia" w:asciiTheme="minorEastAsia" w:hAnsiTheme="minorEastAsia" w:eastAsiaTheme="minorEastAsia" w:cstheme="minorEastAsia"/>
                <w:color w:val="000000"/>
                <w:sz w:val="28"/>
                <w:szCs w:val="28"/>
                <w:highlight w:val="none"/>
                <w:lang w:eastAsia="zh-CN"/>
              </w:rPr>
              <w:t>报警防区：</w:t>
            </w:r>
            <w:r>
              <w:rPr>
                <w:rFonts w:hint="eastAsia" w:asciiTheme="minorEastAsia" w:hAnsiTheme="minorEastAsia" w:eastAsiaTheme="minorEastAsia" w:cstheme="minorEastAsia"/>
                <w:color w:val="000000"/>
                <w:sz w:val="28"/>
                <w:szCs w:val="28"/>
                <w:highlight w:val="none"/>
                <w:lang w:val="en-US" w:eastAsia="zh-CN"/>
              </w:rPr>
              <w:t>10个</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门禁设备：8套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语音对讲主机：1套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语音对讲面板：2套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震动探测器：3个</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网络交换机：4台</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机架式电源：3台</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STS设备：1套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b/>
                <w:bCs/>
                <w:color w:val="000000"/>
                <w:sz w:val="28"/>
                <w:szCs w:val="28"/>
                <w:highlight w:val="none"/>
                <w:lang w:eastAsia="zh-CN"/>
              </w:rPr>
              <w:t>兰州新区</w:t>
            </w:r>
            <w:r>
              <w:rPr>
                <w:rFonts w:hint="eastAsia" w:asciiTheme="minorEastAsia" w:hAnsiTheme="minorEastAsia" w:eastAsiaTheme="minorEastAsia" w:cstheme="minorEastAsia"/>
                <w:b/>
                <w:bCs/>
                <w:color w:val="000000"/>
                <w:sz w:val="28"/>
                <w:szCs w:val="28"/>
                <w:highlight w:val="none"/>
              </w:rPr>
              <w:t>支行</w:t>
            </w:r>
            <w:r>
              <w:rPr>
                <w:rFonts w:hint="eastAsia" w:asciiTheme="minorEastAsia" w:hAnsiTheme="minorEastAsia" w:cstheme="minorEastAsia"/>
                <w:color w:val="000000"/>
                <w:sz w:val="28"/>
                <w:szCs w:val="28"/>
                <w:highlight w:val="none"/>
                <w:lang w:eastAsia="zh-CN"/>
              </w:rPr>
              <w:t>：</w:t>
            </w:r>
            <w:r>
              <w:rPr>
                <w:rFonts w:hint="eastAsia" w:asciiTheme="minorEastAsia" w:hAnsiTheme="minorEastAsia" w:eastAsiaTheme="minorEastAsia" w:cstheme="minorEastAsia"/>
                <w:color w:val="000000"/>
                <w:sz w:val="28"/>
                <w:szCs w:val="28"/>
                <w:highlight w:val="none"/>
                <w:lang w:eastAsia="zh-CN"/>
              </w:rPr>
              <w:t>维保设备</w:t>
            </w:r>
            <w:r>
              <w:rPr>
                <w:rFonts w:hint="eastAsia" w:asciiTheme="minorEastAsia" w:hAnsiTheme="minorEastAsia" w:eastAsiaTheme="minorEastAsia" w:cstheme="minorEastAsia"/>
                <w:sz w:val="28"/>
                <w:szCs w:val="28"/>
                <w:highlight w:val="none"/>
                <w:lang w:val="en-US" w:eastAsia="zh-CN"/>
              </w:rPr>
              <w:t>摄像机：</w:t>
            </w:r>
            <w:r>
              <w:rPr>
                <w:rFonts w:hint="eastAsia" w:asciiTheme="minorEastAsia" w:hAnsiTheme="minorEastAsia" w:eastAsiaTheme="minorEastAsia" w:cstheme="minorEastAsia"/>
                <w:color w:val="000000"/>
                <w:sz w:val="28"/>
                <w:szCs w:val="28"/>
                <w:highlight w:val="none"/>
                <w:lang w:val="en-US" w:eastAsia="zh-CN"/>
              </w:rPr>
              <w:t>89台</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录像机：7</w:t>
            </w:r>
            <w:r>
              <w:rPr>
                <w:rFonts w:hint="eastAsia" w:asciiTheme="minorEastAsia" w:hAnsiTheme="minorEastAsia" w:eastAsiaTheme="minorEastAsia" w:cstheme="minorEastAsia"/>
                <w:color w:val="000000"/>
                <w:sz w:val="28"/>
                <w:szCs w:val="28"/>
                <w:highlight w:val="none"/>
              </w:rPr>
              <w:t>台</w:t>
            </w:r>
            <w:r>
              <w:rPr>
                <w:rFonts w:hint="eastAsia" w:asciiTheme="minorEastAsia" w:hAnsiTheme="minorEastAsia" w:cstheme="minorEastAsia"/>
                <w:color w:val="000000"/>
                <w:sz w:val="28"/>
                <w:szCs w:val="28"/>
                <w:highlight w:val="none"/>
                <w:lang w:eastAsia="zh-CN"/>
              </w:rPr>
              <w:t>；</w:t>
            </w:r>
            <w:r>
              <w:rPr>
                <w:rFonts w:hint="eastAsia" w:asciiTheme="minorEastAsia" w:hAnsiTheme="minorEastAsia" w:eastAsiaTheme="minorEastAsia" w:cstheme="minorEastAsia"/>
                <w:color w:val="000000"/>
                <w:sz w:val="28"/>
                <w:szCs w:val="28"/>
                <w:highlight w:val="none"/>
                <w:lang w:eastAsia="zh-CN"/>
              </w:rPr>
              <w:t>报警防区：</w:t>
            </w:r>
            <w:r>
              <w:rPr>
                <w:rFonts w:hint="eastAsia" w:asciiTheme="minorEastAsia" w:hAnsiTheme="minorEastAsia" w:eastAsiaTheme="minorEastAsia" w:cstheme="minorEastAsia"/>
                <w:color w:val="000000"/>
                <w:sz w:val="28"/>
                <w:szCs w:val="28"/>
                <w:highlight w:val="none"/>
                <w:lang w:val="en-US" w:eastAsia="zh-CN"/>
              </w:rPr>
              <w:t>17个门禁设备：7套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语音对讲主机：1套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语音对讲面板：3套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震动探测器：5个</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网络交换机：5台</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机架式电源：3台</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STS设备：1套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b/>
                <w:bCs/>
                <w:color w:val="000000"/>
                <w:sz w:val="28"/>
                <w:szCs w:val="28"/>
                <w:highlight w:val="none"/>
              </w:rPr>
              <w:t>城关支行</w:t>
            </w:r>
            <w:r>
              <w:rPr>
                <w:rFonts w:hint="eastAsia" w:asciiTheme="minorEastAsia" w:hAnsiTheme="minorEastAsia" w:cstheme="minorEastAsia"/>
                <w:color w:val="000000"/>
                <w:sz w:val="28"/>
                <w:szCs w:val="28"/>
                <w:highlight w:val="none"/>
                <w:lang w:eastAsia="zh-CN"/>
              </w:rPr>
              <w:t>：</w:t>
            </w:r>
            <w:r>
              <w:rPr>
                <w:rFonts w:hint="eastAsia" w:asciiTheme="minorEastAsia" w:hAnsiTheme="minorEastAsia" w:eastAsiaTheme="minorEastAsia" w:cstheme="minorEastAsia"/>
                <w:color w:val="000000"/>
                <w:sz w:val="28"/>
                <w:szCs w:val="28"/>
                <w:highlight w:val="none"/>
                <w:lang w:eastAsia="zh-CN"/>
              </w:rPr>
              <w:t>维保设备</w:t>
            </w:r>
            <w:r>
              <w:rPr>
                <w:rFonts w:hint="eastAsia" w:asciiTheme="minorEastAsia" w:hAnsiTheme="minorEastAsia" w:eastAsiaTheme="minorEastAsia" w:cstheme="minorEastAsia"/>
                <w:sz w:val="28"/>
                <w:szCs w:val="28"/>
                <w:highlight w:val="none"/>
                <w:lang w:val="en-US" w:eastAsia="zh-CN"/>
              </w:rPr>
              <w:t>摄像机：</w:t>
            </w:r>
            <w:r>
              <w:rPr>
                <w:rFonts w:hint="eastAsia" w:asciiTheme="minorEastAsia" w:hAnsiTheme="minorEastAsia" w:eastAsiaTheme="minorEastAsia" w:cstheme="minorEastAsia"/>
                <w:color w:val="000000"/>
                <w:sz w:val="28"/>
                <w:szCs w:val="28"/>
                <w:highlight w:val="none"/>
                <w:lang w:val="en-US" w:eastAsia="zh-CN"/>
              </w:rPr>
              <w:t>80台</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录像机：8</w:t>
            </w:r>
            <w:r>
              <w:rPr>
                <w:rFonts w:hint="eastAsia" w:asciiTheme="minorEastAsia" w:hAnsiTheme="minorEastAsia" w:eastAsiaTheme="minorEastAsia" w:cstheme="minorEastAsia"/>
                <w:color w:val="000000"/>
                <w:sz w:val="28"/>
                <w:szCs w:val="28"/>
                <w:highlight w:val="none"/>
              </w:rPr>
              <w:t>台</w:t>
            </w:r>
            <w:r>
              <w:rPr>
                <w:rFonts w:hint="eastAsia" w:asciiTheme="minorEastAsia" w:hAnsiTheme="minorEastAsia" w:cstheme="minorEastAsia"/>
                <w:color w:val="000000"/>
                <w:sz w:val="28"/>
                <w:szCs w:val="28"/>
                <w:highlight w:val="none"/>
                <w:lang w:eastAsia="zh-CN"/>
              </w:rPr>
              <w:t>；</w:t>
            </w:r>
            <w:r>
              <w:rPr>
                <w:rFonts w:hint="eastAsia" w:asciiTheme="minorEastAsia" w:hAnsiTheme="minorEastAsia" w:eastAsiaTheme="minorEastAsia" w:cstheme="minorEastAsia"/>
                <w:color w:val="000000"/>
                <w:sz w:val="28"/>
                <w:szCs w:val="28"/>
                <w:highlight w:val="none"/>
                <w:lang w:eastAsia="zh-CN"/>
              </w:rPr>
              <w:t>报警防区：</w:t>
            </w:r>
            <w:r>
              <w:rPr>
                <w:rFonts w:hint="eastAsia" w:asciiTheme="minorEastAsia" w:hAnsiTheme="minorEastAsia" w:eastAsiaTheme="minorEastAsia" w:cstheme="minorEastAsia"/>
                <w:color w:val="000000"/>
                <w:sz w:val="28"/>
                <w:szCs w:val="28"/>
                <w:highlight w:val="none"/>
                <w:lang w:val="en-US" w:eastAsia="zh-CN"/>
              </w:rPr>
              <w:t>16个</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门禁设备：10套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语音讲主机：1套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语音对讲面板：2套</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震动探测器：3个</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网络交换机：4台</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机架式电源：3台</w:t>
            </w:r>
            <w:r>
              <w:rPr>
                <w:rFonts w:hint="eastAsia" w:asciiTheme="minorEastAsia" w:hAnsiTheme="minorEastAsia" w:cstheme="minorEastAsia"/>
                <w:color w:val="000000"/>
                <w:sz w:val="28"/>
                <w:szCs w:val="28"/>
                <w:highlight w:val="none"/>
                <w:lang w:val="en-US" w:eastAsia="zh-CN"/>
              </w:rPr>
              <w:t>；</w:t>
            </w:r>
            <w:r>
              <w:rPr>
                <w:rFonts w:hint="eastAsia" w:asciiTheme="minorEastAsia" w:hAnsiTheme="minorEastAsia" w:eastAsiaTheme="minorEastAsia" w:cstheme="minorEastAsia"/>
                <w:color w:val="000000"/>
                <w:sz w:val="28"/>
                <w:szCs w:val="28"/>
                <w:highlight w:val="none"/>
                <w:lang w:val="en-US" w:eastAsia="zh-CN"/>
              </w:rPr>
              <w:t>STS设备：1套</w:t>
            </w:r>
            <w:r>
              <w:rPr>
                <w:rFonts w:hint="eastAsia" w:asciiTheme="minorEastAsia" w:hAnsiTheme="minorEastAsia" w:cstheme="minorEastAsia"/>
                <w:color w:val="000000"/>
                <w:sz w:val="28"/>
                <w:szCs w:val="28"/>
                <w:highlight w:val="none"/>
                <w:lang w:val="en-US" w:eastAsia="zh-CN"/>
              </w:rPr>
              <w:t>。具体设备清单见附件2。</w:t>
            </w:r>
          </w:p>
        </w:tc>
      </w:tr>
    </w:tbl>
    <w:p>
      <w:pPr>
        <w:keepNext w:val="0"/>
        <w:keepLines w:val="0"/>
        <w:pageBreakBefore w:val="0"/>
        <w:kinsoku/>
        <w:wordWrap/>
        <w:autoSpaceDE/>
        <w:autoSpaceDN/>
        <w:bidi w:val="0"/>
        <w:spacing w:line="360" w:lineRule="auto"/>
        <w:ind w:firstLine="600" w:firstLineChars="200"/>
        <w:textAlignment w:val="auto"/>
        <w:rPr>
          <w:rFonts w:hint="eastAsia" w:ascii="黑体" w:hAnsi="黑体" w:eastAsia="黑体" w:cs="Times New Roman"/>
          <w:sz w:val="30"/>
          <w:szCs w:val="30"/>
        </w:rPr>
      </w:pPr>
      <w:r>
        <w:rPr>
          <w:rFonts w:hint="eastAsia" w:ascii="黑体" w:hAnsi="黑体" w:eastAsia="黑体" w:cs="Times New Roman"/>
          <w:sz w:val="30"/>
          <w:szCs w:val="30"/>
          <w:highlight w:val="none"/>
          <w:lang w:eastAsia="zh-CN"/>
        </w:rPr>
        <w:t>四</w:t>
      </w:r>
      <w:r>
        <w:rPr>
          <w:rFonts w:hint="eastAsia" w:ascii="黑体" w:hAnsi="黑体" w:eastAsia="黑体" w:cs="Times New Roman"/>
          <w:sz w:val="30"/>
          <w:szCs w:val="30"/>
          <w:highlight w:val="none"/>
        </w:rPr>
        <w:t>、技术商务要求</w:t>
      </w:r>
    </w:p>
    <w:p>
      <w:pPr>
        <w:spacing w:line="560" w:lineRule="exact"/>
        <w:ind w:firstLine="600" w:firstLineChars="200"/>
        <w:rPr>
          <w:rFonts w:ascii="仿宋_GB2312" w:hAnsi="仿宋" w:eastAsia="仿宋_GB2312" w:cs="Times New Roman"/>
          <w:sz w:val="30"/>
          <w:szCs w:val="30"/>
        </w:rPr>
      </w:pPr>
      <w:r>
        <w:rPr>
          <w:rFonts w:hint="eastAsia" w:ascii="仿宋_GB2312" w:hAnsi="仿宋" w:eastAsia="仿宋_GB2312" w:cs="Times New Roman"/>
          <w:sz w:val="30"/>
          <w:szCs w:val="30"/>
        </w:rPr>
        <w:t>1.技术</w:t>
      </w:r>
      <w:r>
        <w:rPr>
          <w:rFonts w:hint="eastAsia" w:ascii="仿宋_GB2312" w:hAnsi="仿宋" w:eastAsia="仿宋_GB2312" w:cs="Times New Roman"/>
          <w:sz w:val="30"/>
          <w:szCs w:val="30"/>
          <w:lang w:val="en-US" w:eastAsia="zh-CN"/>
        </w:rPr>
        <w:t>总体</w:t>
      </w:r>
      <w:r>
        <w:rPr>
          <w:rFonts w:hint="eastAsia" w:ascii="仿宋_GB2312" w:hAnsi="仿宋" w:eastAsia="仿宋_GB2312" w:cs="Times New Roman"/>
          <w:sz w:val="30"/>
          <w:szCs w:val="30"/>
        </w:rPr>
        <w:t>要求</w:t>
      </w:r>
    </w:p>
    <w:p>
      <w:pPr>
        <w:spacing w:line="360" w:lineRule="auto"/>
        <w:ind w:firstLine="600" w:firstLineChars="200"/>
        <w:jc w:val="both"/>
        <w:rPr>
          <w:rFonts w:hint="eastAsia" w:ascii="仿宋_GB2312" w:hAnsi="仿宋" w:eastAsia="仿宋_GB2312" w:cs="Times New Roman"/>
          <w:sz w:val="30"/>
          <w:szCs w:val="30"/>
          <w:lang w:eastAsia="zh-CN"/>
        </w:rPr>
      </w:pPr>
      <w:r>
        <w:rPr>
          <w:rFonts w:hint="eastAsia" w:ascii="仿宋_GB2312" w:hAnsi="楷体" w:eastAsia="仿宋_GB2312" w:cs="楷体"/>
          <w:i w:val="0"/>
          <w:iCs w:val="0"/>
          <w:sz w:val="30"/>
          <w:szCs w:val="30"/>
          <w:lang w:eastAsia="zh-CN"/>
        </w:rPr>
        <w:t>一是成交供应商</w:t>
      </w:r>
      <w:r>
        <w:rPr>
          <w:rFonts w:hint="eastAsia" w:ascii="仿宋_GB2312" w:hAnsi="楷体" w:eastAsia="仿宋_GB2312" w:cs="楷体"/>
          <w:i w:val="0"/>
          <w:iCs w:val="0"/>
          <w:sz w:val="30"/>
          <w:szCs w:val="30"/>
        </w:rPr>
        <w:t>按照</w:t>
      </w:r>
      <w:r>
        <w:rPr>
          <w:rFonts w:hint="eastAsia" w:ascii="仿宋_GB2312" w:hAnsi="楷体" w:eastAsia="仿宋_GB2312" w:cs="楷体"/>
          <w:i w:val="0"/>
          <w:iCs w:val="0"/>
          <w:sz w:val="30"/>
          <w:szCs w:val="30"/>
          <w:lang w:eastAsia="zh-CN"/>
        </w:rPr>
        <w:t>采购</w:t>
      </w:r>
      <w:r>
        <w:rPr>
          <w:rFonts w:hint="eastAsia" w:ascii="仿宋_GB2312" w:hAnsi="楷体" w:eastAsia="仿宋_GB2312" w:cs="楷体"/>
          <w:i w:val="0"/>
          <w:iCs w:val="0"/>
          <w:sz w:val="30"/>
          <w:szCs w:val="30"/>
        </w:rPr>
        <w:t>人</w:t>
      </w:r>
      <w:r>
        <w:rPr>
          <w:rFonts w:hint="eastAsia" w:ascii="仿宋_GB2312" w:hAnsi="楷体" w:eastAsia="仿宋_GB2312" w:cs="楷体"/>
          <w:i w:val="0"/>
          <w:iCs w:val="0"/>
          <w:sz w:val="30"/>
          <w:szCs w:val="30"/>
          <w:lang w:eastAsia="zh-CN"/>
        </w:rPr>
        <w:t>对</w:t>
      </w:r>
      <w:r>
        <w:rPr>
          <w:rFonts w:hint="eastAsia" w:ascii="仿宋_GB2312" w:hAnsi="楷体" w:eastAsia="仿宋_GB2312" w:cs="楷体"/>
          <w:i w:val="0"/>
          <w:iCs w:val="0"/>
          <w:sz w:val="30"/>
          <w:szCs w:val="30"/>
        </w:rPr>
        <w:t>本次项目的建设需求，完成</w:t>
      </w:r>
      <w:r>
        <w:rPr>
          <w:rFonts w:hint="eastAsia" w:ascii="仿宋_GB2312" w:hAnsi="楷体" w:eastAsia="仿宋_GB2312" w:cs="楷体"/>
          <w:i w:val="0"/>
          <w:iCs w:val="0"/>
          <w:sz w:val="30"/>
          <w:szCs w:val="30"/>
          <w:lang w:eastAsia="zh-CN"/>
        </w:rPr>
        <w:t>相关</w:t>
      </w:r>
      <w:r>
        <w:rPr>
          <w:rFonts w:hint="eastAsia" w:ascii="仿宋_GB2312" w:hAnsi="楷体" w:eastAsia="仿宋_GB2312" w:cs="楷体"/>
          <w:i w:val="0"/>
          <w:iCs w:val="0"/>
          <w:sz w:val="30"/>
          <w:szCs w:val="30"/>
        </w:rPr>
        <w:t>设备的维</w:t>
      </w:r>
      <w:r>
        <w:rPr>
          <w:rFonts w:hint="eastAsia" w:ascii="仿宋_GB2312" w:hAnsi="楷体" w:eastAsia="仿宋_GB2312" w:cs="楷体"/>
          <w:i w:val="0"/>
          <w:iCs w:val="0"/>
          <w:sz w:val="30"/>
          <w:szCs w:val="30"/>
          <w:lang w:eastAsia="zh-CN"/>
        </w:rPr>
        <w:t>保</w:t>
      </w:r>
      <w:r>
        <w:rPr>
          <w:rFonts w:hint="eastAsia" w:ascii="仿宋_GB2312" w:hAnsi="楷体" w:eastAsia="仿宋_GB2312" w:cs="楷体"/>
          <w:i w:val="0"/>
          <w:iCs w:val="0"/>
          <w:sz w:val="30"/>
          <w:szCs w:val="30"/>
        </w:rPr>
        <w:t>服务工作</w:t>
      </w:r>
      <w:r>
        <w:rPr>
          <w:rFonts w:hint="eastAsia" w:ascii="仿宋_GB2312" w:hAnsi="楷体" w:eastAsia="仿宋_GB2312" w:cs="楷体"/>
          <w:i w:val="0"/>
          <w:iCs w:val="0"/>
          <w:sz w:val="30"/>
          <w:szCs w:val="30"/>
          <w:lang w:eastAsia="zh-CN"/>
        </w:rPr>
        <w:t>。</w:t>
      </w:r>
      <w:r>
        <w:rPr>
          <w:rFonts w:hint="eastAsia" w:ascii="仿宋_GB2312" w:hAnsi="楷体" w:eastAsia="仿宋_GB2312" w:cs="楷体"/>
          <w:i w:val="0"/>
          <w:iCs w:val="0"/>
          <w:sz w:val="30"/>
          <w:szCs w:val="30"/>
        </w:rPr>
        <w:t>采购人应按国家</w:t>
      </w:r>
      <w:r>
        <w:rPr>
          <w:rFonts w:hint="eastAsia" w:ascii="仿宋_GB2312" w:hAnsi="楷体" w:eastAsia="仿宋_GB2312" w:cs="楷体"/>
          <w:i w:val="0"/>
          <w:iCs w:val="0"/>
          <w:sz w:val="30"/>
          <w:szCs w:val="30"/>
          <w:lang w:eastAsia="zh-CN"/>
        </w:rPr>
        <w:t>安防标准（《银行营业场所安全防范要求》GA38-20</w:t>
      </w:r>
      <w:r>
        <w:rPr>
          <w:rFonts w:hint="eastAsia" w:ascii="仿宋_GB2312" w:hAnsi="楷体" w:eastAsia="仿宋_GB2312" w:cs="楷体"/>
          <w:i w:val="0"/>
          <w:iCs w:val="0"/>
          <w:sz w:val="30"/>
          <w:szCs w:val="30"/>
          <w:lang w:val="en-US" w:eastAsia="zh-CN"/>
        </w:rPr>
        <w:t>21、</w:t>
      </w:r>
      <w:r>
        <w:rPr>
          <w:rFonts w:hint="eastAsia" w:ascii="仿宋_GB2312" w:hAnsi="楷体" w:eastAsia="仿宋_GB2312" w:cs="楷体"/>
          <w:i w:val="0"/>
          <w:iCs w:val="0"/>
          <w:sz w:val="30"/>
          <w:szCs w:val="30"/>
          <w:lang w:eastAsia="zh-CN"/>
        </w:rPr>
        <w:t>《银行自助设备、自助银行安全防范要求》GA 745-2017）</w:t>
      </w:r>
      <w:r>
        <w:rPr>
          <w:rFonts w:hint="eastAsia" w:ascii="仿宋_GB2312" w:hAnsi="楷体" w:eastAsia="仿宋_GB2312" w:cs="楷体"/>
          <w:i w:val="0"/>
          <w:iCs w:val="0"/>
          <w:sz w:val="30"/>
          <w:szCs w:val="30"/>
        </w:rPr>
        <w:t>的技术要求规定的维保周期和技术标准完成</w:t>
      </w:r>
      <w:r>
        <w:rPr>
          <w:rFonts w:hint="eastAsia" w:ascii="仿宋_GB2312" w:hAnsi="楷体" w:eastAsia="仿宋_GB2312" w:cs="楷体"/>
          <w:i w:val="0"/>
          <w:iCs w:val="0"/>
          <w:sz w:val="30"/>
          <w:szCs w:val="30"/>
          <w:lang w:eastAsia="zh-CN"/>
        </w:rPr>
        <w:t>弱电</w:t>
      </w:r>
      <w:r>
        <w:rPr>
          <w:rFonts w:hint="eastAsia" w:ascii="仿宋_GB2312" w:hAnsi="楷体" w:eastAsia="仿宋_GB2312" w:cs="楷体"/>
          <w:i w:val="0"/>
          <w:iCs w:val="0"/>
          <w:sz w:val="30"/>
          <w:szCs w:val="30"/>
        </w:rPr>
        <w:t>维护保养工作，每月按时提交准确完整的维护保养记录和维保报告给</w:t>
      </w:r>
      <w:r>
        <w:rPr>
          <w:rFonts w:hint="eastAsia" w:ascii="仿宋_GB2312" w:hAnsi="楷体" w:eastAsia="仿宋_GB2312" w:cs="楷体"/>
          <w:i w:val="0"/>
          <w:iCs w:val="0"/>
          <w:sz w:val="30"/>
          <w:szCs w:val="30"/>
          <w:lang w:eastAsia="zh-CN"/>
        </w:rPr>
        <w:t>兰州分行及兰内支安保</w:t>
      </w:r>
      <w:r>
        <w:rPr>
          <w:rFonts w:hint="eastAsia" w:ascii="仿宋_GB2312" w:hAnsi="楷体" w:eastAsia="仿宋_GB2312" w:cs="楷体"/>
          <w:i w:val="0"/>
          <w:iCs w:val="0"/>
          <w:sz w:val="30"/>
          <w:szCs w:val="30"/>
        </w:rPr>
        <w:t>负责人审核签字确认。采购人应确保</w:t>
      </w:r>
      <w:r>
        <w:rPr>
          <w:rFonts w:hint="eastAsia" w:ascii="仿宋_GB2312" w:hAnsi="楷体" w:eastAsia="仿宋_GB2312" w:cs="楷体"/>
          <w:i w:val="0"/>
          <w:iCs w:val="0"/>
          <w:sz w:val="30"/>
          <w:szCs w:val="30"/>
          <w:lang w:eastAsia="zh-CN"/>
        </w:rPr>
        <w:t>兰州分行及兰内支行</w:t>
      </w:r>
      <w:r>
        <w:rPr>
          <w:rFonts w:hint="eastAsia" w:ascii="仿宋_GB2312" w:hAnsi="楷体" w:eastAsia="仿宋_GB2312" w:cs="楷体"/>
          <w:i w:val="0"/>
          <w:iCs w:val="0"/>
          <w:sz w:val="30"/>
          <w:szCs w:val="30"/>
        </w:rPr>
        <w:t>所有</w:t>
      </w:r>
      <w:r>
        <w:rPr>
          <w:rFonts w:hint="eastAsia" w:ascii="仿宋_GB2312" w:hAnsi="楷体" w:eastAsia="仿宋_GB2312" w:cs="楷体"/>
          <w:i w:val="0"/>
          <w:iCs w:val="0"/>
          <w:sz w:val="30"/>
          <w:szCs w:val="30"/>
          <w:lang w:eastAsia="zh-CN"/>
        </w:rPr>
        <w:t>安防</w:t>
      </w:r>
      <w:r>
        <w:rPr>
          <w:rFonts w:hint="eastAsia" w:ascii="仿宋_GB2312" w:hAnsi="楷体" w:eastAsia="仿宋_GB2312" w:cs="楷体"/>
          <w:i w:val="0"/>
          <w:iCs w:val="0"/>
          <w:sz w:val="30"/>
          <w:szCs w:val="30"/>
        </w:rPr>
        <w:t>设施的正常运行，并在设备发生故障的情况下能够及时组织专业人员进行维修以及突发事件的应急响应。另外，乙方需遵守</w:t>
      </w:r>
      <w:r>
        <w:rPr>
          <w:rFonts w:hint="eastAsia" w:ascii="仿宋_GB2312" w:hAnsi="楷体" w:eastAsia="仿宋_GB2312" w:cs="楷体"/>
          <w:i w:val="0"/>
          <w:iCs w:val="0"/>
          <w:sz w:val="30"/>
          <w:szCs w:val="30"/>
          <w:lang w:eastAsia="zh-CN"/>
        </w:rPr>
        <w:t>浙商银行兰州分行</w:t>
      </w:r>
      <w:r>
        <w:rPr>
          <w:rFonts w:hint="eastAsia" w:ascii="仿宋_GB2312" w:hAnsi="楷体" w:eastAsia="仿宋_GB2312" w:cs="楷体"/>
          <w:i w:val="0"/>
          <w:iCs w:val="0"/>
          <w:sz w:val="30"/>
          <w:szCs w:val="30"/>
        </w:rPr>
        <w:t>所有的规章制度和管理体系的要求，履行</w:t>
      </w:r>
      <w:r>
        <w:rPr>
          <w:rFonts w:hint="eastAsia" w:ascii="仿宋_GB2312" w:hAnsi="楷体" w:eastAsia="仿宋_GB2312" w:cs="楷体"/>
          <w:i w:val="0"/>
          <w:iCs w:val="0"/>
          <w:sz w:val="30"/>
          <w:szCs w:val="30"/>
          <w:lang w:eastAsia="zh-CN"/>
        </w:rPr>
        <w:t>浙商银行兰州分行</w:t>
      </w:r>
      <w:r>
        <w:rPr>
          <w:rFonts w:hint="eastAsia" w:ascii="仿宋_GB2312" w:hAnsi="楷体" w:eastAsia="仿宋_GB2312" w:cs="楷体"/>
          <w:i w:val="0"/>
          <w:iCs w:val="0"/>
          <w:sz w:val="30"/>
          <w:szCs w:val="30"/>
        </w:rPr>
        <w:t>对供应商规定的义务，加强在设备耗材、成本、培训方面的管理</w:t>
      </w:r>
      <w:r>
        <w:rPr>
          <w:rFonts w:hint="eastAsia" w:ascii="仿宋_GB2312" w:hAnsi="楷体" w:eastAsia="仿宋_GB2312" w:cs="楷体"/>
          <w:i w:val="0"/>
          <w:iCs w:val="0"/>
          <w:sz w:val="30"/>
          <w:szCs w:val="30"/>
          <w:lang w:eastAsia="zh-CN"/>
        </w:rPr>
        <w:t>。二是</w:t>
      </w:r>
      <w:r>
        <w:rPr>
          <w:rFonts w:hint="eastAsia" w:ascii="仿宋_GB2312" w:hAnsi="仿宋" w:eastAsia="仿宋_GB2312" w:cs="Times New Roman"/>
          <w:sz w:val="30"/>
          <w:szCs w:val="30"/>
        </w:rPr>
        <w:t>遵守用户的安全运行管理要求，协助</w:t>
      </w:r>
      <w:r>
        <w:rPr>
          <w:rFonts w:hint="eastAsia" w:ascii="仿宋_GB2312" w:hAnsi="仿宋" w:eastAsia="仿宋_GB2312" w:cs="Times New Roman"/>
          <w:sz w:val="30"/>
          <w:szCs w:val="30"/>
          <w:lang w:eastAsia="zh-CN"/>
        </w:rPr>
        <w:t>采购人</w:t>
      </w:r>
      <w:r>
        <w:rPr>
          <w:rFonts w:hint="eastAsia" w:ascii="仿宋_GB2312" w:hAnsi="仿宋" w:eastAsia="仿宋_GB2312" w:cs="Times New Roman"/>
          <w:sz w:val="30"/>
          <w:szCs w:val="30"/>
        </w:rPr>
        <w:t>开展日常督查、专项督查，同时针对报告中可能存在的问题提供相应的报告和整改建议</w:t>
      </w:r>
      <w:r>
        <w:rPr>
          <w:rFonts w:hint="eastAsia" w:ascii="仿宋_GB2312" w:hAnsi="仿宋" w:eastAsia="仿宋_GB2312" w:cs="Times New Roman"/>
          <w:sz w:val="30"/>
          <w:szCs w:val="30"/>
          <w:lang w:eastAsia="zh-CN"/>
        </w:rPr>
        <w:t>。三是根据采购项目需要做好服务保障工作。</w:t>
      </w:r>
    </w:p>
    <w:p>
      <w:pPr>
        <w:spacing w:line="360" w:lineRule="auto"/>
        <w:ind w:firstLine="600" w:firstLineChars="200"/>
        <w:rPr>
          <w:rFonts w:hint="eastAsia" w:ascii="仿宋_GB2312" w:hAnsi="仿宋" w:eastAsia="仿宋_GB2312" w:cs="Times New Roman"/>
          <w:sz w:val="30"/>
          <w:szCs w:val="30"/>
          <w:lang w:val="en-US" w:eastAsia="zh-CN"/>
        </w:rPr>
      </w:pPr>
      <w:r>
        <w:rPr>
          <w:rFonts w:hint="eastAsia" w:ascii="仿宋_GB2312" w:hAnsi="仿宋" w:eastAsia="仿宋_GB2312" w:cs="Times New Roman"/>
          <w:sz w:val="30"/>
          <w:szCs w:val="30"/>
          <w:lang w:val="en-US" w:eastAsia="zh-CN"/>
        </w:rPr>
        <w:t>2.资信商务要求</w:t>
      </w:r>
    </w:p>
    <w:p>
      <w:pPr>
        <w:spacing w:line="360" w:lineRule="auto"/>
        <w:ind w:firstLine="600" w:firstLineChars="200"/>
        <w:rPr>
          <w:rFonts w:hint="eastAsia" w:ascii="仿宋_GB2312" w:hAnsi="仿宋" w:eastAsia="仿宋_GB2312" w:cs="Times New Roman"/>
          <w:sz w:val="30"/>
          <w:szCs w:val="30"/>
          <w:lang w:val="en-US" w:eastAsia="zh-CN"/>
        </w:rPr>
      </w:pPr>
      <w:r>
        <w:rPr>
          <w:rFonts w:hint="eastAsia" w:ascii="仿宋_GB2312" w:hAnsi="仿宋" w:eastAsia="仿宋_GB2312" w:cs="Times New Roman"/>
          <w:sz w:val="30"/>
          <w:szCs w:val="30"/>
          <w:lang w:eastAsia="zh-CN"/>
        </w:rPr>
        <w:t>一是根据采购项目故障级别，在规定时间内响应并解决问题。二是确保一名维保团队人员驻守分行本级开展日常工作。三是维保团队稳定性，</w:t>
      </w:r>
      <w:r>
        <w:rPr>
          <w:rFonts w:hint="eastAsia" w:ascii="仿宋_GB2312" w:hAnsi="仿宋" w:eastAsia="仿宋_GB2312" w:cs="Times New Roman"/>
          <w:sz w:val="30"/>
          <w:szCs w:val="30"/>
          <w:lang w:val="en-US" w:eastAsia="zh-CN"/>
        </w:rPr>
        <w:t>提供包括热线咨询、现场指导、远程技术支持、现场故障排除、故障设备维修、系统软件升级等各种技术服务。</w:t>
      </w:r>
    </w:p>
    <w:p>
      <w:pPr>
        <w:keepNext w:val="0"/>
        <w:keepLines w:val="0"/>
        <w:pageBreakBefore w:val="0"/>
        <w:kinsoku/>
        <w:wordWrap/>
        <w:autoSpaceDE/>
        <w:autoSpaceDN/>
        <w:bidi w:val="0"/>
        <w:spacing w:line="360" w:lineRule="auto"/>
        <w:ind w:firstLine="600" w:firstLineChars="200"/>
        <w:textAlignment w:val="auto"/>
        <w:rPr>
          <w:rFonts w:ascii="仿宋_GB2312" w:hAnsi="仿宋" w:eastAsia="仿宋_GB2312" w:cs="Times New Roman"/>
          <w:sz w:val="30"/>
          <w:szCs w:val="30"/>
        </w:rPr>
      </w:pPr>
      <w:r>
        <w:rPr>
          <w:rFonts w:hint="eastAsia" w:ascii="仿宋_GB2312" w:hAnsi="仿宋" w:eastAsia="仿宋_GB2312" w:cs="Times New Roman"/>
          <w:sz w:val="30"/>
          <w:szCs w:val="30"/>
        </w:rPr>
        <w:t>3.合同订立要求</w:t>
      </w:r>
    </w:p>
    <w:p>
      <w:pPr>
        <w:keepNext w:val="0"/>
        <w:keepLines w:val="0"/>
        <w:pageBreakBefore w:val="0"/>
        <w:widowControl/>
        <w:kinsoku/>
        <w:wordWrap/>
        <w:autoSpaceDE/>
        <w:autoSpaceDN/>
        <w:bidi w:val="0"/>
        <w:snapToGrid w:val="0"/>
        <w:spacing w:line="360" w:lineRule="auto"/>
        <w:ind w:firstLine="600" w:firstLineChars="200"/>
        <w:textAlignment w:val="auto"/>
        <w:rPr>
          <w:rFonts w:ascii="仿宋_GB2312" w:hAnsi="仿宋" w:eastAsia="仿宋_GB2312" w:cs="Times New Roman"/>
          <w:sz w:val="30"/>
          <w:szCs w:val="30"/>
        </w:rPr>
      </w:pPr>
      <w:r>
        <w:rPr>
          <w:rFonts w:hint="eastAsia" w:ascii="仿宋_GB2312" w:hAnsi="仿宋" w:eastAsia="仿宋_GB2312" w:cs="Times New Roman"/>
          <w:sz w:val="30"/>
          <w:szCs w:val="30"/>
        </w:rPr>
        <w:t xml:space="preserve">是否框架协议： </w:t>
      </w:r>
      <w:r>
        <w:rPr>
          <w:rFonts w:hint="eastAsia" w:ascii="仿宋_GB2312" w:hAnsi="仿宋" w:eastAsia="仿宋_GB2312" w:cs="Times New Roman"/>
          <w:sz w:val="30"/>
          <w:szCs w:val="30"/>
        </w:rPr>
        <w:sym w:font="Wingdings 2" w:char="0052"/>
      </w:r>
      <w:r>
        <w:rPr>
          <w:rFonts w:hint="eastAsia" w:ascii="仿宋_GB2312" w:hAnsi="仿宋" w:eastAsia="仿宋_GB2312" w:cs="Times New Roman"/>
          <w:sz w:val="30"/>
          <w:szCs w:val="30"/>
        </w:rPr>
        <w:t xml:space="preserve">是    </w:t>
      </w:r>
      <w:r>
        <w:rPr>
          <w:rFonts w:hint="eastAsia" w:ascii="仿宋_GB2312" w:hAnsi="仿宋" w:eastAsia="仿宋_GB2312" w:cs="Times New Roman"/>
          <w:sz w:val="30"/>
          <w:szCs w:val="30"/>
        </w:rPr>
        <w:sym w:font="Wingdings 2" w:char="00A3"/>
      </w:r>
      <w:r>
        <w:rPr>
          <w:rFonts w:hint="eastAsia" w:ascii="仿宋_GB2312" w:hAnsi="仿宋" w:eastAsia="仿宋_GB2312" w:cs="Times New Roman"/>
          <w:sz w:val="30"/>
          <w:szCs w:val="30"/>
        </w:rPr>
        <w:t>否</w:t>
      </w:r>
    </w:p>
    <w:p>
      <w:pPr>
        <w:keepNext w:val="0"/>
        <w:keepLines w:val="0"/>
        <w:pageBreakBefore w:val="0"/>
        <w:widowControl/>
        <w:kinsoku/>
        <w:wordWrap/>
        <w:autoSpaceDE/>
        <w:autoSpaceDN/>
        <w:bidi w:val="0"/>
        <w:snapToGrid w:val="0"/>
        <w:spacing w:line="360" w:lineRule="auto"/>
        <w:ind w:firstLine="600" w:firstLineChars="200"/>
        <w:textAlignment w:val="auto"/>
        <w:rPr>
          <w:rFonts w:ascii="仿宋_GB2312" w:hAnsi="仿宋" w:eastAsia="仿宋_GB2312" w:cs="Times New Roman"/>
          <w:sz w:val="30"/>
          <w:szCs w:val="30"/>
        </w:rPr>
      </w:pPr>
      <w:r>
        <w:rPr>
          <w:rFonts w:hint="eastAsia" w:ascii="仿宋_GB2312" w:hAnsi="仿宋" w:eastAsia="仿宋_GB2312" w:cs="Times New Roman"/>
          <w:sz w:val="30"/>
          <w:szCs w:val="30"/>
        </w:rPr>
        <w:t>合同定价模式：</w:t>
      </w:r>
    </w:p>
    <w:p>
      <w:pPr>
        <w:keepNext w:val="0"/>
        <w:keepLines w:val="0"/>
        <w:pageBreakBefore w:val="0"/>
        <w:widowControl/>
        <w:kinsoku/>
        <w:wordWrap/>
        <w:autoSpaceDE/>
        <w:autoSpaceDN/>
        <w:bidi w:val="0"/>
        <w:snapToGrid w:val="0"/>
        <w:spacing w:line="360" w:lineRule="auto"/>
        <w:ind w:firstLine="600" w:firstLineChars="200"/>
        <w:textAlignment w:val="auto"/>
        <w:rPr>
          <w:rFonts w:ascii="仿宋_GB2312" w:hAnsi="仿宋" w:eastAsia="仿宋_GB2312" w:cs="仿宋_GB2312"/>
          <w:color w:val="000000"/>
          <w:kern w:val="0"/>
          <w:sz w:val="30"/>
          <w:szCs w:val="30"/>
          <w:lang w:bidi="ar"/>
        </w:rPr>
      </w:pPr>
      <w:r>
        <w:rPr>
          <w:rFonts w:hint="eastAsia" w:ascii="仿宋_GB2312" w:hAnsi="仿宋" w:eastAsia="仿宋_GB2312" w:cs="Times New Roman"/>
          <w:sz w:val="30"/>
          <w:szCs w:val="30"/>
          <w:highlight w:val="none"/>
        </w:rPr>
        <w:sym w:font="Wingdings 2" w:char="0052"/>
      </w:r>
      <w:r>
        <w:rPr>
          <w:rFonts w:hint="eastAsia" w:ascii="仿宋_GB2312" w:hAnsi="仿宋" w:eastAsia="仿宋_GB2312" w:cs="仿宋_GB2312"/>
          <w:color w:val="000000"/>
          <w:kern w:val="0"/>
          <w:sz w:val="30"/>
          <w:szCs w:val="30"/>
          <w:highlight w:val="none"/>
          <w:lang w:bidi="ar"/>
        </w:rPr>
        <w:t>固定总价</w:t>
      </w:r>
      <w:r>
        <w:rPr>
          <w:rFonts w:hint="eastAsia" w:ascii="仿宋_GB2312" w:hAnsi="仿宋" w:eastAsia="仿宋_GB2312" w:cs="仿宋_GB2312"/>
          <w:color w:val="000000"/>
          <w:kern w:val="0"/>
          <w:sz w:val="30"/>
          <w:szCs w:val="30"/>
          <w:lang w:bidi="ar"/>
        </w:rPr>
        <w:t xml:space="preserve">   </w:t>
      </w:r>
      <w:r>
        <w:rPr>
          <w:rFonts w:hint="eastAsia" w:ascii="仿宋_GB2312" w:hAnsi="仿宋" w:eastAsia="仿宋_GB2312" w:cs="Times New Roman"/>
          <w:sz w:val="30"/>
          <w:szCs w:val="30"/>
        </w:rPr>
        <w:t>□</w:t>
      </w:r>
      <w:r>
        <w:rPr>
          <w:rFonts w:hint="eastAsia" w:ascii="仿宋_GB2312" w:hAnsi="仿宋" w:eastAsia="仿宋_GB2312" w:cs="仿宋_GB2312"/>
          <w:color w:val="000000"/>
          <w:kern w:val="0"/>
          <w:sz w:val="30"/>
          <w:szCs w:val="30"/>
          <w:lang w:bidi="ar"/>
        </w:rPr>
        <w:t>成本补偿（应明确并细化核算方式）</w:t>
      </w:r>
    </w:p>
    <w:p>
      <w:pPr>
        <w:keepNext w:val="0"/>
        <w:keepLines w:val="0"/>
        <w:pageBreakBefore w:val="0"/>
        <w:widowControl/>
        <w:kinsoku/>
        <w:wordWrap/>
        <w:autoSpaceDE/>
        <w:autoSpaceDN/>
        <w:bidi w:val="0"/>
        <w:snapToGrid w:val="0"/>
        <w:spacing w:line="360" w:lineRule="auto"/>
        <w:ind w:firstLine="600" w:firstLineChars="200"/>
        <w:textAlignment w:val="auto"/>
        <w:rPr>
          <w:rFonts w:ascii="仿宋_GB2312" w:hAnsi="仿宋" w:eastAsia="仿宋_GB2312" w:cs="仿宋_GB2312"/>
          <w:color w:val="000000"/>
          <w:kern w:val="0"/>
          <w:sz w:val="30"/>
          <w:szCs w:val="30"/>
          <w:lang w:bidi="ar"/>
        </w:rPr>
      </w:pPr>
      <w:r>
        <w:rPr>
          <w:rFonts w:hint="eastAsia" w:ascii="仿宋_GB2312" w:hAnsi="仿宋" w:eastAsia="仿宋_GB2312" w:cs="Times New Roman"/>
          <w:sz w:val="30"/>
          <w:szCs w:val="30"/>
        </w:rPr>
        <w:sym w:font="Wingdings 2" w:char="00A3"/>
      </w:r>
      <w:r>
        <w:rPr>
          <w:rFonts w:hint="eastAsia" w:ascii="仿宋_GB2312" w:hAnsi="仿宋" w:eastAsia="仿宋_GB2312" w:cs="仿宋_GB2312"/>
          <w:color w:val="000000"/>
          <w:kern w:val="0"/>
          <w:sz w:val="30"/>
          <w:szCs w:val="30"/>
          <w:lang w:bidi="ar"/>
        </w:rPr>
        <w:t xml:space="preserve">固定单价   </w:t>
      </w:r>
      <w:r>
        <w:rPr>
          <w:rFonts w:hint="eastAsia" w:ascii="仿宋_GB2312" w:hAnsi="仿宋" w:eastAsia="仿宋_GB2312" w:cs="Times New Roman"/>
          <w:sz w:val="30"/>
          <w:szCs w:val="30"/>
        </w:rPr>
        <w:sym w:font="Wingdings 2" w:char="00A3"/>
      </w:r>
      <w:r>
        <w:rPr>
          <w:rFonts w:hint="eastAsia" w:ascii="仿宋_GB2312" w:hAnsi="仿宋" w:eastAsia="仿宋_GB2312" w:cs="仿宋_GB2312"/>
          <w:color w:val="000000"/>
          <w:kern w:val="0"/>
          <w:sz w:val="30"/>
          <w:szCs w:val="30"/>
          <w:lang w:bidi="ar"/>
        </w:rPr>
        <w:t>绩效激励（应明确并细化核算方式）</w:t>
      </w:r>
    </w:p>
    <w:p>
      <w:pPr>
        <w:keepNext w:val="0"/>
        <w:keepLines w:val="0"/>
        <w:pageBreakBefore w:val="0"/>
        <w:widowControl w:val="0"/>
        <w:kinsoku/>
        <w:wordWrap/>
        <w:autoSpaceDE/>
        <w:autoSpaceDN/>
        <w:bidi w:val="0"/>
        <w:spacing w:line="360" w:lineRule="auto"/>
        <w:ind w:firstLine="600" w:firstLineChars="200"/>
        <w:jc w:val="both"/>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服务期限为自合同签订起</w:t>
      </w:r>
      <w:r>
        <w:rPr>
          <w:rFonts w:hint="eastAsia" w:ascii="仿宋_GB2312" w:hAnsi="仿宋_GB2312" w:eastAsia="仿宋_GB2312" w:cs="仿宋_GB2312"/>
          <w:color w:val="000000" w:themeColor="text1"/>
          <w:sz w:val="30"/>
          <w:szCs w:val="30"/>
          <w:highlight w:val="none"/>
          <w:lang w:eastAsia="zh-CN"/>
          <w14:textFill>
            <w14:solidFill>
              <w14:schemeClr w14:val="tx1"/>
            </w14:solidFill>
          </w14:textFill>
        </w:rPr>
        <w:t>一</w:t>
      </w:r>
      <w:r>
        <w:rPr>
          <w:rFonts w:hint="eastAsia" w:ascii="仿宋_GB2312" w:hAnsi="仿宋_GB2312" w:eastAsia="仿宋_GB2312" w:cs="仿宋_GB2312"/>
          <w:color w:val="000000" w:themeColor="text1"/>
          <w:sz w:val="30"/>
          <w:szCs w:val="30"/>
          <w:highlight w:val="none"/>
          <w14:textFill>
            <w14:solidFill>
              <w14:schemeClr w14:val="tx1"/>
            </w14:solidFill>
          </w14:textFill>
        </w:rPr>
        <w:t>年</w:t>
      </w:r>
      <w:r>
        <w:rPr>
          <w:rFonts w:hint="eastAsia" w:ascii="仿宋_GB2312" w:hAnsi="仿宋_GB2312" w:eastAsia="仿宋_GB2312" w:cs="仿宋_GB2312"/>
          <w:color w:val="000000" w:themeColor="text1"/>
          <w:sz w:val="30"/>
          <w:szCs w:val="30"/>
          <w:lang w:eastAsia="zh-CN"/>
          <w14:textFill>
            <w14:solidFill>
              <w14:schemeClr w14:val="tx1"/>
            </w14:solidFill>
          </w14:textFill>
        </w:rPr>
        <w:t>，每半年</w:t>
      </w:r>
      <w:r>
        <w:rPr>
          <w:rFonts w:hint="eastAsia" w:ascii="仿宋_GB2312" w:hAnsi="仿宋_GB2312" w:eastAsia="仿宋_GB2312" w:cs="仿宋_GB2312"/>
          <w:color w:val="000000" w:themeColor="text1"/>
          <w:sz w:val="30"/>
          <w:szCs w:val="30"/>
          <w14:textFill>
            <w14:solidFill>
              <w14:schemeClr w14:val="tx1"/>
            </w14:solidFill>
          </w14:textFill>
        </w:rPr>
        <w:t>据实结算。</w:t>
      </w:r>
    </w:p>
    <w:p>
      <w:pPr>
        <w:keepNext w:val="0"/>
        <w:keepLines w:val="0"/>
        <w:pageBreakBefore w:val="0"/>
        <w:kinsoku/>
        <w:wordWrap/>
        <w:autoSpaceDE/>
        <w:autoSpaceDN/>
        <w:bidi w:val="0"/>
        <w:spacing w:line="360" w:lineRule="auto"/>
        <w:ind w:firstLine="600" w:firstLineChars="200"/>
        <w:textAlignment w:val="auto"/>
        <w:rPr>
          <w:rFonts w:ascii="黑体" w:hAnsi="黑体" w:eastAsia="黑体" w:cs="Times New Roman"/>
          <w:sz w:val="30"/>
          <w:szCs w:val="30"/>
        </w:rPr>
      </w:pPr>
      <w:r>
        <w:rPr>
          <w:rFonts w:hint="eastAsia" w:ascii="黑体" w:hAnsi="黑体" w:eastAsia="黑体" w:cs="Times New Roman"/>
          <w:sz w:val="30"/>
          <w:szCs w:val="30"/>
        </w:rPr>
        <w:t>五、资格条件、评审办法和标准的建议</w:t>
      </w:r>
    </w:p>
    <w:p>
      <w:pPr>
        <w:spacing w:line="360" w:lineRule="auto"/>
        <w:ind w:firstLine="600" w:firstLineChars="200"/>
        <w:rPr>
          <w:rFonts w:ascii="仿宋_GB2312" w:hAnsi="楷体" w:eastAsia="仿宋_GB2312" w:cs="Times New Roman"/>
          <w:sz w:val="30"/>
          <w:szCs w:val="30"/>
        </w:rPr>
      </w:pPr>
      <w:r>
        <w:rPr>
          <w:rFonts w:hint="eastAsia" w:ascii="仿宋_GB2312" w:hAnsi="楷体" w:eastAsia="仿宋_GB2312" w:cs="Times New Roman"/>
          <w:sz w:val="30"/>
          <w:szCs w:val="30"/>
        </w:rPr>
        <w:t>1.通用资格要求</w:t>
      </w:r>
    </w:p>
    <w:p>
      <w:pPr>
        <w:spacing w:line="360" w:lineRule="auto"/>
        <w:ind w:firstLine="600" w:firstLineChars="200"/>
        <w:rPr>
          <w:rFonts w:hint="eastAsia" w:ascii="仿宋_GB2312" w:hAnsi="楷体" w:eastAsia="仿宋_GB2312" w:cs="楷体"/>
          <w:i w:val="0"/>
          <w:iCs w:val="0"/>
          <w:sz w:val="30"/>
          <w:szCs w:val="30"/>
        </w:rPr>
      </w:pPr>
      <w:r>
        <w:rPr>
          <w:rFonts w:hint="eastAsia" w:ascii="仿宋_GB2312" w:hAnsi="楷体" w:eastAsia="仿宋_GB2312" w:cs="楷体"/>
          <w:i w:val="0"/>
          <w:iCs w:val="0"/>
          <w:sz w:val="30"/>
          <w:szCs w:val="30"/>
          <w:lang w:val="en-US" w:eastAsia="zh-CN"/>
        </w:rPr>
        <w:t>1.1符合</w:t>
      </w:r>
      <w:r>
        <w:rPr>
          <w:rFonts w:hint="eastAsia" w:ascii="仿宋_GB2312" w:hAnsi="楷体" w:eastAsia="仿宋_GB2312" w:cs="楷体"/>
          <w:i w:val="0"/>
          <w:iCs w:val="0"/>
          <w:sz w:val="30"/>
          <w:szCs w:val="30"/>
        </w:rPr>
        <w:t>《中华人民共和国政府采购法》第二十二条规定，并提供下列材料：</w:t>
      </w:r>
    </w:p>
    <w:p>
      <w:pPr>
        <w:spacing w:line="360" w:lineRule="auto"/>
        <w:ind w:firstLine="600" w:firstLineChars="200"/>
        <w:rPr>
          <w:rFonts w:hint="eastAsia" w:ascii="仿宋_GB2312" w:hAnsi="楷体" w:eastAsia="仿宋_GB2312" w:cs="楷体"/>
          <w:i w:val="0"/>
          <w:iCs w:val="0"/>
          <w:sz w:val="30"/>
          <w:szCs w:val="30"/>
        </w:rPr>
      </w:pPr>
      <w:r>
        <w:rPr>
          <w:rFonts w:hint="eastAsia" w:ascii="仿宋_GB2312" w:hAnsi="楷体" w:eastAsia="仿宋_GB2312" w:cs="楷体"/>
          <w:i w:val="0"/>
          <w:iCs w:val="0"/>
          <w:sz w:val="30"/>
          <w:szCs w:val="30"/>
          <w:lang w:eastAsia="zh-CN"/>
        </w:rPr>
        <w:t>（</w:t>
      </w:r>
      <w:r>
        <w:rPr>
          <w:rFonts w:hint="eastAsia" w:ascii="仿宋_GB2312" w:hAnsi="楷体" w:eastAsia="仿宋_GB2312" w:cs="楷体"/>
          <w:i w:val="0"/>
          <w:iCs w:val="0"/>
          <w:sz w:val="30"/>
          <w:szCs w:val="30"/>
          <w:lang w:val="en-US" w:eastAsia="zh-CN"/>
        </w:rPr>
        <w:t>1</w:t>
      </w:r>
      <w:r>
        <w:rPr>
          <w:rFonts w:hint="eastAsia" w:ascii="仿宋_GB2312" w:hAnsi="楷体" w:eastAsia="仿宋_GB2312" w:cs="楷体"/>
          <w:i w:val="0"/>
          <w:iCs w:val="0"/>
          <w:sz w:val="30"/>
          <w:szCs w:val="30"/>
          <w:lang w:eastAsia="zh-CN"/>
        </w:rPr>
        <w:t>）</w:t>
      </w:r>
      <w:r>
        <w:rPr>
          <w:rFonts w:hint="eastAsia" w:ascii="仿宋_GB2312" w:hAnsi="楷体" w:eastAsia="仿宋_GB2312" w:cs="楷体"/>
          <w:i w:val="0"/>
          <w:iCs w:val="0"/>
          <w:sz w:val="30"/>
          <w:szCs w:val="30"/>
        </w:rPr>
        <w:t xml:space="preserve"> 法人或其他组织的营业执照等证明文件，自然人的身份证明；</w:t>
      </w:r>
    </w:p>
    <w:p>
      <w:pPr>
        <w:spacing w:line="360" w:lineRule="auto"/>
        <w:ind w:firstLine="600" w:firstLineChars="200"/>
        <w:rPr>
          <w:rFonts w:hint="eastAsia" w:ascii="仿宋_GB2312" w:hAnsi="楷体" w:eastAsia="仿宋_GB2312" w:cs="楷体"/>
          <w:i w:val="0"/>
          <w:iCs w:val="0"/>
          <w:sz w:val="30"/>
          <w:szCs w:val="30"/>
        </w:rPr>
      </w:pPr>
      <w:r>
        <w:rPr>
          <w:rFonts w:hint="eastAsia" w:ascii="仿宋_GB2312" w:hAnsi="楷体" w:eastAsia="仿宋_GB2312" w:cs="楷体"/>
          <w:i w:val="0"/>
          <w:iCs w:val="0"/>
          <w:sz w:val="30"/>
          <w:szCs w:val="30"/>
          <w:lang w:eastAsia="zh-CN"/>
        </w:rPr>
        <w:t>（</w:t>
      </w:r>
      <w:r>
        <w:rPr>
          <w:rFonts w:hint="eastAsia" w:ascii="仿宋_GB2312" w:hAnsi="楷体" w:eastAsia="仿宋_GB2312" w:cs="楷体"/>
          <w:i w:val="0"/>
          <w:iCs w:val="0"/>
          <w:sz w:val="30"/>
          <w:szCs w:val="30"/>
          <w:lang w:val="en-US" w:eastAsia="zh-CN"/>
        </w:rPr>
        <w:t>2</w:t>
      </w:r>
      <w:r>
        <w:rPr>
          <w:rFonts w:hint="eastAsia" w:ascii="仿宋_GB2312" w:hAnsi="楷体" w:eastAsia="仿宋_GB2312" w:cs="楷体"/>
          <w:i w:val="0"/>
          <w:iCs w:val="0"/>
          <w:sz w:val="30"/>
          <w:szCs w:val="30"/>
          <w:lang w:eastAsia="zh-CN"/>
        </w:rPr>
        <w:t>）</w:t>
      </w:r>
      <w:r>
        <w:rPr>
          <w:rFonts w:hint="eastAsia" w:ascii="仿宋_GB2312" w:hAnsi="楷体" w:eastAsia="仿宋_GB2312" w:cs="楷体"/>
          <w:i w:val="0"/>
          <w:iCs w:val="0"/>
          <w:sz w:val="30"/>
          <w:szCs w:val="30"/>
        </w:rPr>
        <w:t>具备履行合同所必需的设备和专业技术能力的书面声明；</w:t>
      </w:r>
    </w:p>
    <w:p>
      <w:pPr>
        <w:numPr>
          <w:ilvl w:val="0"/>
          <w:numId w:val="0"/>
        </w:numPr>
        <w:spacing w:line="360" w:lineRule="auto"/>
        <w:ind w:leftChars="200" w:firstLine="300" w:firstLineChars="100"/>
        <w:rPr>
          <w:rFonts w:hint="eastAsia" w:ascii="仿宋_GB2312" w:hAnsi="楷体" w:eastAsia="仿宋_GB2312" w:cs="楷体"/>
          <w:iCs/>
          <w:sz w:val="30"/>
          <w:szCs w:val="30"/>
        </w:rPr>
      </w:pPr>
      <w:r>
        <w:rPr>
          <w:rFonts w:hint="eastAsia" w:ascii="仿宋_GB2312" w:hAnsi="楷体" w:eastAsia="仿宋_GB2312" w:cs="楷体"/>
          <w:iCs/>
          <w:sz w:val="30"/>
          <w:szCs w:val="30"/>
          <w:lang w:val="en-US" w:eastAsia="zh-CN"/>
        </w:rPr>
        <w:t>1.2</w:t>
      </w:r>
      <w:r>
        <w:rPr>
          <w:rFonts w:hint="eastAsia" w:ascii="仿宋_GB2312" w:hAnsi="楷体" w:eastAsia="仿宋_GB2312" w:cs="楷体"/>
          <w:iCs/>
          <w:sz w:val="30"/>
          <w:szCs w:val="30"/>
        </w:rPr>
        <w:t>未被“信用中国”网站列入失信被执行人、重大税收违法案件当事人名单、未被列入政府采购严重违法失信行为记录名单内、在经营活动中没有重大违法记录、重大违法记录（提供书面承诺，加盖公章）；</w:t>
      </w:r>
    </w:p>
    <w:p>
      <w:pPr>
        <w:numPr>
          <w:ilvl w:val="0"/>
          <w:numId w:val="0"/>
        </w:numPr>
        <w:spacing w:line="360" w:lineRule="auto"/>
        <w:ind w:leftChars="200" w:firstLine="300" w:firstLineChars="100"/>
        <w:rPr>
          <w:rFonts w:hint="default" w:ascii="仿宋_GB2312" w:hAnsi="楷体" w:eastAsia="仿宋_GB2312" w:cs="楷体"/>
          <w:i w:val="0"/>
          <w:iCs w:val="0"/>
          <w:sz w:val="30"/>
          <w:szCs w:val="30"/>
          <w:lang w:val="en-US" w:eastAsia="zh-CN"/>
        </w:rPr>
      </w:pPr>
      <w:r>
        <w:rPr>
          <w:rFonts w:hint="eastAsia" w:ascii="仿宋_GB2312" w:hAnsi="楷体" w:eastAsia="仿宋_GB2312" w:cs="楷体"/>
          <w:i w:val="0"/>
          <w:iCs w:val="0"/>
          <w:sz w:val="30"/>
          <w:szCs w:val="30"/>
          <w:lang w:val="en-US" w:eastAsia="zh-CN"/>
        </w:rPr>
        <w:t>2.</w:t>
      </w:r>
      <w:r>
        <w:rPr>
          <w:rFonts w:hint="default" w:ascii="仿宋_GB2312" w:hAnsi="楷体" w:eastAsia="仿宋_GB2312" w:cs="楷体"/>
          <w:i w:val="0"/>
          <w:iCs w:val="0"/>
          <w:sz w:val="30"/>
          <w:szCs w:val="30"/>
          <w:lang w:val="en-US" w:eastAsia="zh-CN"/>
        </w:rPr>
        <w:t>关联关系单位投标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_GB2312" w:hAnsi="楷体" w:eastAsia="仿宋_GB2312" w:cs="楷体"/>
          <w:i w:val="0"/>
          <w:iCs w:val="0"/>
          <w:sz w:val="30"/>
          <w:szCs w:val="30"/>
          <w:lang w:val="en-US" w:eastAsia="zh-CN"/>
        </w:rPr>
      </w:pPr>
      <w:r>
        <w:rPr>
          <w:rFonts w:hint="eastAsia" w:ascii="仿宋_GB2312" w:hAnsi="楷体" w:eastAsia="仿宋_GB2312" w:cs="楷体"/>
          <w:i w:val="0"/>
          <w:iCs w:val="0"/>
          <w:sz w:val="30"/>
          <w:szCs w:val="30"/>
          <w:lang w:val="en-US" w:eastAsia="zh-CN"/>
        </w:rPr>
        <w:t>（1）</w:t>
      </w:r>
      <w:r>
        <w:rPr>
          <w:rFonts w:hint="default" w:ascii="仿宋_GB2312" w:hAnsi="楷体" w:eastAsia="仿宋_GB2312" w:cs="楷体"/>
          <w:i w:val="0"/>
          <w:iCs w:val="0"/>
          <w:sz w:val="30"/>
          <w:szCs w:val="30"/>
          <w:lang w:val="en-US" w:eastAsia="zh-CN"/>
        </w:rPr>
        <w:t>负责人为同一人或者存在控股、管理关系的不同单位，不得参加同项目</w:t>
      </w:r>
      <w:r>
        <w:rPr>
          <w:rFonts w:hint="eastAsia" w:ascii="仿宋_GB2312" w:hAnsi="楷体" w:eastAsia="仿宋_GB2312" w:cs="楷体"/>
          <w:i w:val="0"/>
          <w:iCs w:val="0"/>
          <w:sz w:val="30"/>
          <w:szCs w:val="30"/>
          <w:lang w:val="en-US" w:eastAsia="zh-CN"/>
        </w:rPr>
        <w:t>采购</w:t>
      </w:r>
      <w:r>
        <w:rPr>
          <w:rFonts w:hint="default" w:ascii="仿宋_GB2312" w:hAnsi="楷体" w:eastAsia="仿宋_GB2312" w:cs="楷体"/>
          <w:i w:val="0"/>
          <w:iCs w:val="0"/>
          <w:sz w:val="30"/>
          <w:szCs w:val="30"/>
          <w:lang w:val="en-US" w:eastAsia="zh-CN"/>
        </w:rPr>
        <w:t>，否则均按无效处理；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ascii="仿宋_GB2312" w:hAnsi="楷体" w:eastAsia="仿宋_GB2312" w:cs="楷体"/>
          <w:iCs/>
          <w:sz w:val="30"/>
          <w:szCs w:val="30"/>
        </w:rPr>
      </w:pPr>
      <w:r>
        <w:rPr>
          <w:rFonts w:hint="eastAsia" w:ascii="仿宋_GB2312" w:hAnsi="楷体" w:eastAsia="仿宋_GB2312" w:cs="楷体"/>
          <w:i w:val="0"/>
          <w:iCs w:val="0"/>
          <w:sz w:val="30"/>
          <w:szCs w:val="30"/>
          <w:lang w:val="en-US" w:eastAsia="zh-CN"/>
        </w:rPr>
        <w:t>（2）推荐供应商</w:t>
      </w:r>
      <w:r>
        <w:rPr>
          <w:rFonts w:hint="default" w:ascii="仿宋_GB2312" w:hAnsi="楷体" w:eastAsia="仿宋_GB2312" w:cs="楷体"/>
          <w:i w:val="0"/>
          <w:iCs w:val="0"/>
          <w:sz w:val="30"/>
          <w:szCs w:val="30"/>
          <w:lang w:val="en-US" w:eastAsia="zh-CN"/>
        </w:rPr>
        <w:t>与</w:t>
      </w:r>
      <w:r>
        <w:rPr>
          <w:rFonts w:hint="eastAsia" w:ascii="仿宋_GB2312" w:hAnsi="楷体" w:eastAsia="仿宋_GB2312" w:cs="楷体"/>
          <w:i w:val="0"/>
          <w:iCs w:val="0"/>
          <w:sz w:val="30"/>
          <w:szCs w:val="30"/>
          <w:lang w:val="en-US" w:eastAsia="zh-CN"/>
        </w:rPr>
        <w:t>浙商银行兰州分行无</w:t>
      </w:r>
      <w:r>
        <w:rPr>
          <w:rFonts w:hint="default" w:ascii="仿宋_GB2312" w:hAnsi="楷体" w:eastAsia="仿宋_GB2312" w:cs="楷体"/>
          <w:i w:val="0"/>
          <w:iCs w:val="0"/>
          <w:sz w:val="30"/>
          <w:szCs w:val="30"/>
          <w:lang w:val="en-US" w:eastAsia="zh-CN"/>
        </w:rPr>
        <w:t>投资关系</w:t>
      </w:r>
      <w:r>
        <w:rPr>
          <w:rFonts w:hint="eastAsia" w:ascii="仿宋_GB2312" w:hAnsi="楷体" w:eastAsia="仿宋_GB2312" w:cs="楷体"/>
          <w:i w:val="0"/>
          <w:iCs w:val="0"/>
          <w:sz w:val="30"/>
          <w:szCs w:val="30"/>
          <w:lang w:val="en-US" w:eastAsia="zh-CN"/>
        </w:rPr>
        <w:t>或</w:t>
      </w:r>
      <w:r>
        <w:rPr>
          <w:rFonts w:hint="default" w:ascii="仿宋_GB2312" w:hAnsi="楷体" w:eastAsia="仿宋_GB2312" w:cs="楷体"/>
          <w:i w:val="0"/>
          <w:iCs w:val="0"/>
          <w:sz w:val="30"/>
          <w:szCs w:val="30"/>
          <w:lang w:val="en-US" w:eastAsia="zh-CN"/>
        </w:rPr>
        <w:t>存在以下情况的，不得参加</w:t>
      </w:r>
      <w:r>
        <w:rPr>
          <w:rFonts w:hint="eastAsia" w:ascii="仿宋_GB2312" w:hAnsi="楷体" w:eastAsia="仿宋_GB2312" w:cs="楷体"/>
          <w:i w:val="0"/>
          <w:iCs w:val="0"/>
          <w:sz w:val="30"/>
          <w:szCs w:val="30"/>
          <w:lang w:val="en-US" w:eastAsia="zh-CN"/>
        </w:rPr>
        <w:t>采购</w:t>
      </w:r>
      <w:r>
        <w:rPr>
          <w:rFonts w:hint="default" w:ascii="仿宋_GB2312" w:hAnsi="楷体" w:eastAsia="仿宋_GB2312" w:cs="楷体"/>
          <w:i w:val="0"/>
          <w:iCs w:val="0"/>
          <w:sz w:val="30"/>
          <w:szCs w:val="30"/>
          <w:lang w:val="en-US" w:eastAsia="zh-CN"/>
        </w:rPr>
        <w:t>活动：</w:t>
      </w:r>
      <w:r>
        <w:rPr>
          <w:rFonts w:hint="eastAsia" w:ascii="仿宋_GB2312" w:hAnsi="楷体" w:eastAsia="仿宋_GB2312" w:cs="楷体"/>
          <w:i w:val="0"/>
          <w:iCs w:val="0"/>
          <w:sz w:val="30"/>
          <w:szCs w:val="30"/>
          <w:lang w:val="en-US" w:eastAsia="zh-CN"/>
        </w:rPr>
        <w:t>浙商银行兰州分行员工</w:t>
      </w:r>
      <w:r>
        <w:rPr>
          <w:rFonts w:hint="default" w:ascii="仿宋_GB2312" w:hAnsi="楷体" w:eastAsia="仿宋_GB2312" w:cs="楷体"/>
          <w:i w:val="0"/>
          <w:iCs w:val="0"/>
          <w:sz w:val="30"/>
          <w:szCs w:val="30"/>
          <w:lang w:val="en-US" w:eastAsia="zh-CN"/>
        </w:rPr>
        <w:t>及其亲属和其他特定关系人，以个人身份（组织委派的除外）担任法人、董事长、总经理、监事的企业，以及</w:t>
      </w:r>
      <w:r>
        <w:rPr>
          <w:rFonts w:hint="eastAsia" w:ascii="仿宋_GB2312" w:hAnsi="楷体" w:eastAsia="仿宋_GB2312" w:cs="楷体"/>
          <w:i w:val="0"/>
          <w:iCs w:val="0"/>
          <w:sz w:val="30"/>
          <w:szCs w:val="30"/>
          <w:lang w:val="en-US" w:eastAsia="zh-CN"/>
        </w:rPr>
        <w:t>与他人</w:t>
      </w:r>
      <w:r>
        <w:rPr>
          <w:rFonts w:hint="default" w:ascii="仿宋_GB2312" w:hAnsi="楷体" w:eastAsia="仿宋_GB2312" w:cs="楷体"/>
          <w:i w:val="0"/>
          <w:iCs w:val="0"/>
          <w:sz w:val="30"/>
          <w:szCs w:val="30"/>
          <w:lang w:val="en-US" w:eastAsia="zh-CN"/>
        </w:rPr>
        <w:t>集体出资成立的企业。</w:t>
      </w:r>
    </w:p>
    <w:p>
      <w:pPr>
        <w:spacing w:line="360" w:lineRule="auto"/>
        <w:ind w:firstLine="600" w:firstLineChars="200"/>
        <w:rPr>
          <w:rFonts w:hint="eastAsia" w:ascii="仿宋_GB2312" w:hAnsi="楷体" w:eastAsia="仿宋_GB2312" w:cs="Times New Roman"/>
          <w:sz w:val="30"/>
          <w:szCs w:val="30"/>
        </w:rPr>
      </w:pPr>
      <w:r>
        <w:rPr>
          <w:rFonts w:hint="eastAsia" w:ascii="仿宋_GB2312" w:hAnsi="楷体" w:eastAsia="仿宋_GB2312" w:cs="Times New Roman"/>
          <w:sz w:val="30"/>
          <w:szCs w:val="30"/>
          <w:lang w:val="en-US" w:eastAsia="zh-CN"/>
        </w:rPr>
        <w:t>3.</w:t>
      </w:r>
      <w:r>
        <w:rPr>
          <w:rFonts w:hint="eastAsia" w:ascii="仿宋_GB2312" w:hAnsi="楷体" w:eastAsia="仿宋_GB2312" w:cs="Times New Roman"/>
          <w:sz w:val="30"/>
          <w:szCs w:val="30"/>
        </w:rPr>
        <w:t>评标原则</w:t>
      </w:r>
    </w:p>
    <w:p>
      <w:pPr>
        <w:spacing w:line="360" w:lineRule="auto"/>
        <w:ind w:firstLine="600" w:firstLineChars="200"/>
        <w:rPr>
          <w:rFonts w:hint="eastAsia" w:ascii="仿宋_GB2312" w:hAnsi="楷体" w:eastAsia="仿宋_GB2312" w:cs="Times New Roman"/>
          <w:sz w:val="30"/>
          <w:szCs w:val="30"/>
        </w:rPr>
      </w:pPr>
      <w:r>
        <w:rPr>
          <w:rFonts w:hint="eastAsia" w:ascii="仿宋_GB2312" w:hAnsi="楷体" w:eastAsia="仿宋_GB2312" w:cs="Times New Roman"/>
          <w:sz w:val="30"/>
          <w:szCs w:val="30"/>
        </w:rPr>
        <w:t>1.</w:t>
      </w:r>
      <w:r>
        <w:rPr>
          <w:rFonts w:hint="eastAsia" w:ascii="仿宋_GB2312" w:hAnsi="楷体" w:eastAsia="仿宋_GB2312" w:cs="Times New Roman"/>
          <w:sz w:val="30"/>
          <w:szCs w:val="30"/>
          <w:lang w:val="en-US" w:eastAsia="zh-CN"/>
        </w:rPr>
        <w:t>1</w:t>
      </w:r>
      <w:r>
        <w:rPr>
          <w:rFonts w:hint="eastAsia" w:ascii="仿宋_GB2312" w:hAnsi="楷体" w:eastAsia="仿宋_GB2312" w:cs="Times New Roman"/>
          <w:sz w:val="30"/>
          <w:szCs w:val="30"/>
        </w:rPr>
        <w:t>评标工作遵循“公平、公正、科学、择优”的原则，对所有供应商一视同仁、公平对待。</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_GB2312" w:hAnsi="楷体" w:eastAsia="仿宋_GB2312" w:cs="楷体"/>
          <w:iCs/>
          <w:sz w:val="30"/>
          <w:szCs w:val="30"/>
          <w:lang w:val="en-US" w:eastAsia="zh-CN"/>
        </w:rPr>
      </w:pPr>
      <w:r>
        <w:rPr>
          <w:rFonts w:hint="eastAsia" w:ascii="仿宋_GB2312" w:hAnsi="楷体" w:eastAsia="仿宋_GB2312" w:cs="楷体"/>
          <w:iCs/>
          <w:sz w:val="30"/>
          <w:szCs w:val="30"/>
          <w:lang w:val="en-US" w:eastAsia="zh-CN"/>
        </w:rPr>
        <w:t>1.2评标活动依法进行，任何单位和个人不得非法干预或者影响评标过程和结果。</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_GB2312" w:hAnsi="楷体" w:eastAsia="仿宋_GB2312" w:cs="楷体"/>
          <w:iCs/>
          <w:sz w:val="30"/>
          <w:szCs w:val="30"/>
          <w:lang w:val="en-US" w:eastAsia="zh-CN"/>
        </w:rPr>
      </w:pPr>
      <w:r>
        <w:rPr>
          <w:rFonts w:hint="eastAsia" w:ascii="仿宋_GB2312" w:hAnsi="楷体" w:eastAsia="仿宋_GB2312" w:cs="楷体"/>
          <w:iCs/>
          <w:sz w:val="30"/>
          <w:szCs w:val="30"/>
          <w:lang w:val="en-US" w:eastAsia="zh-CN"/>
        </w:rPr>
        <w:t>1.3评标人员严格遵守国家的有关保密法律、法规的规定，严格自律，同时接受有关部门的监督、审查。</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_GB2312" w:hAnsi="楷体" w:eastAsia="仿宋_GB2312" w:cs="楷体"/>
          <w:iCs/>
          <w:sz w:val="30"/>
          <w:szCs w:val="30"/>
          <w:lang w:val="en-US" w:eastAsia="zh-CN"/>
        </w:rPr>
      </w:pPr>
      <w:r>
        <w:rPr>
          <w:rFonts w:hint="eastAsia" w:ascii="仿宋_GB2312" w:hAnsi="楷体" w:eastAsia="仿宋_GB2312" w:cs="楷体"/>
          <w:iCs/>
          <w:sz w:val="30"/>
          <w:szCs w:val="30"/>
          <w:lang w:val="en-US" w:eastAsia="zh-CN"/>
        </w:rPr>
        <w:t>1.4评标只对实质上响应磋商文件要求的有效响应文件进行评审。</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_GB2312" w:hAnsi="楷体" w:eastAsia="仿宋_GB2312" w:cs="楷体"/>
          <w:iCs/>
          <w:sz w:val="30"/>
          <w:szCs w:val="30"/>
          <w:lang w:val="en-US" w:eastAsia="zh-CN"/>
        </w:rPr>
      </w:pPr>
      <w:r>
        <w:rPr>
          <w:rFonts w:hint="eastAsia" w:ascii="仿宋_GB2312" w:hAnsi="楷体" w:eastAsia="仿宋_GB2312" w:cs="楷体"/>
          <w:iCs/>
          <w:sz w:val="30"/>
          <w:szCs w:val="30"/>
          <w:lang w:val="en-US" w:eastAsia="zh-CN"/>
        </w:rPr>
        <w:t>1.5评标将依据磋商文件确定的标准和方法，结合响应文件进行评审，不得忽视响应文件的实质性内容进行评标。</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_GB2312" w:hAnsi="楷体" w:eastAsia="仿宋_GB2312" w:cs="楷体"/>
          <w:iCs/>
          <w:sz w:val="30"/>
          <w:szCs w:val="30"/>
          <w:lang w:val="en-US" w:eastAsia="zh-CN"/>
        </w:rPr>
      </w:pPr>
      <w:r>
        <w:rPr>
          <w:rFonts w:hint="eastAsia" w:ascii="仿宋_GB2312" w:hAnsi="楷体" w:eastAsia="仿宋_GB2312" w:cs="楷体"/>
          <w:iCs/>
          <w:sz w:val="30"/>
          <w:szCs w:val="30"/>
          <w:lang w:val="en-US" w:eastAsia="zh-CN"/>
        </w:rPr>
        <w:t>1.6从磋商直至宣布授予中标人合同前，评标人员不得向供应商或其他人透露对响应文件的评审、澄清、比较、中标候选人的推荐情况以及与评标有关的其他情况。</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_GB2312" w:hAnsi="楷体" w:eastAsia="仿宋_GB2312" w:cs="楷体"/>
          <w:iCs/>
          <w:sz w:val="30"/>
          <w:szCs w:val="30"/>
          <w:lang w:val="en-US" w:eastAsia="zh-CN"/>
        </w:rPr>
      </w:pPr>
      <w:r>
        <w:rPr>
          <w:rFonts w:hint="eastAsia" w:ascii="仿宋_GB2312" w:hAnsi="楷体" w:eastAsia="仿宋_GB2312" w:cs="楷体"/>
          <w:iCs/>
          <w:sz w:val="30"/>
          <w:szCs w:val="30"/>
          <w:lang w:val="en-US" w:eastAsia="zh-CN"/>
        </w:rPr>
        <w:t>1.7供应商申报的关于资质、业绩等文件和材料必须真实准确，不得弄虚作假。</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_GB2312" w:hAnsi="楷体" w:eastAsia="仿宋_GB2312" w:cs="楷体"/>
          <w:iCs/>
          <w:sz w:val="30"/>
          <w:szCs w:val="30"/>
          <w:lang w:val="en-US" w:eastAsia="zh-CN"/>
        </w:rPr>
      </w:pPr>
      <w:r>
        <w:rPr>
          <w:rFonts w:hint="eastAsia" w:ascii="仿宋_GB2312" w:hAnsi="楷体" w:eastAsia="仿宋_GB2312" w:cs="楷体"/>
          <w:iCs/>
          <w:sz w:val="30"/>
          <w:szCs w:val="30"/>
          <w:lang w:val="en-US" w:eastAsia="zh-CN"/>
        </w:rPr>
        <w:t>1.8供应商不得以任何形式刺探。评标机密，不得以任何形式干扰评标或授标工作。</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_GB2312" w:hAnsi="楷体" w:eastAsia="仿宋_GB2312" w:cs="楷体"/>
          <w:iCs/>
          <w:sz w:val="30"/>
          <w:szCs w:val="30"/>
          <w:lang w:val="en-US" w:eastAsia="zh-CN"/>
        </w:rPr>
      </w:pPr>
      <w:r>
        <w:rPr>
          <w:rFonts w:hint="eastAsia" w:ascii="仿宋_GB2312" w:hAnsi="楷体" w:eastAsia="仿宋_GB2312" w:cs="楷体"/>
          <w:iCs/>
          <w:sz w:val="30"/>
          <w:szCs w:val="30"/>
          <w:lang w:val="en-US" w:eastAsia="zh-CN"/>
        </w:rPr>
        <w:t>1.9供应商在响应文件的评审、澄清、比较以及授予合同过程中对评标人员施加影响的任何行为，都将导致被取消响应资格。</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_GB2312" w:hAnsi="楷体" w:eastAsia="仿宋_GB2312" w:cs="楷体"/>
          <w:iCs/>
          <w:sz w:val="30"/>
          <w:szCs w:val="30"/>
          <w:lang w:val="en-US" w:eastAsia="zh-CN"/>
        </w:rPr>
      </w:pPr>
      <w:r>
        <w:rPr>
          <w:rFonts w:hint="eastAsia" w:ascii="仿宋_GB2312" w:hAnsi="楷体" w:eastAsia="仿宋_GB2312" w:cs="楷体"/>
          <w:iCs/>
          <w:sz w:val="30"/>
          <w:szCs w:val="30"/>
          <w:lang w:val="en-US" w:eastAsia="zh-CN"/>
        </w:rPr>
        <w:t>2.0供应商应具备较强的技术力量及综合实力，在众多项目中业绩、信誉良好，并能确保本次磋商采购产品的长远售后服务。</w:t>
      </w:r>
    </w:p>
    <w:p>
      <w:pPr>
        <w:spacing w:line="360" w:lineRule="auto"/>
        <w:ind w:firstLine="600" w:firstLineChars="200"/>
        <w:rPr>
          <w:rFonts w:hint="eastAsia" w:ascii="仿宋_GB2312" w:hAnsi="楷体" w:eastAsia="仿宋_GB2312" w:cs="Times New Roman"/>
          <w:sz w:val="30"/>
          <w:szCs w:val="30"/>
        </w:rPr>
      </w:pPr>
      <w:r>
        <w:rPr>
          <w:rFonts w:hint="eastAsia" w:ascii="仿宋_GB2312" w:hAnsi="楷体" w:eastAsia="仿宋_GB2312" w:cs="Times New Roman"/>
          <w:sz w:val="30"/>
          <w:szCs w:val="30"/>
          <w:lang w:val="en-US" w:eastAsia="zh-CN"/>
        </w:rPr>
        <w:t>4</w:t>
      </w:r>
      <w:r>
        <w:rPr>
          <w:rFonts w:hint="eastAsia" w:ascii="仿宋_GB2312" w:hAnsi="楷体" w:eastAsia="仿宋_GB2312" w:cs="Times New Roman"/>
          <w:sz w:val="30"/>
          <w:szCs w:val="30"/>
        </w:rPr>
        <w:t>、评标方法</w:t>
      </w:r>
    </w:p>
    <w:p>
      <w:pPr>
        <w:spacing w:line="360" w:lineRule="auto"/>
        <w:ind w:firstLine="600" w:firstLineChars="200"/>
        <w:rPr>
          <w:rFonts w:hint="eastAsia" w:ascii="仿宋_GB2312" w:hAnsi="楷体" w:eastAsia="仿宋_GB2312" w:cs="Times New Roman"/>
          <w:sz w:val="30"/>
          <w:szCs w:val="30"/>
        </w:rPr>
      </w:pPr>
      <w:r>
        <w:rPr>
          <w:rFonts w:hint="eastAsia" w:ascii="仿宋_GB2312" w:hAnsi="楷体" w:eastAsia="仿宋_GB2312" w:cs="Times New Roman"/>
          <w:sz w:val="30"/>
          <w:szCs w:val="30"/>
        </w:rPr>
        <w:t>评标方法采用“综合评分法”，指在最大限度地满足磋商文件实质性要求前提下，按照磋商文件中规定的各项因素进行综合评审后，以评标总得分最高的供应商作为拟中标供应商。为使采购得到健康有序的</w:t>
      </w:r>
      <w:r>
        <w:rPr>
          <w:rFonts w:hint="eastAsia" w:ascii="仿宋_GB2312" w:hAnsi="楷体" w:eastAsia="仿宋_GB2312" w:cs="Times New Roman"/>
          <w:sz w:val="30"/>
          <w:szCs w:val="30"/>
          <w:lang w:eastAsia="zh-CN"/>
        </w:rPr>
        <w:t>发展</w:t>
      </w:r>
      <w:r>
        <w:rPr>
          <w:rFonts w:hint="eastAsia" w:ascii="仿宋_GB2312" w:hAnsi="楷体" w:eastAsia="仿宋_GB2312" w:cs="Times New Roman"/>
          <w:sz w:val="30"/>
          <w:szCs w:val="30"/>
        </w:rPr>
        <w:t>，评标高度关注综合性价比，采购人不承诺最终最低报价中标，对未中标响应商不作任何解释说明。</w:t>
      </w:r>
    </w:p>
    <w:p>
      <w:pPr>
        <w:keepNext w:val="0"/>
        <w:keepLines w:val="0"/>
        <w:pageBreakBefore w:val="0"/>
        <w:widowControl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bCs/>
          <w:color w:val="000000" w:themeColor="text1"/>
          <w:sz w:val="30"/>
          <w:szCs w:val="30"/>
          <w:lang w:val="zh-CN"/>
          <w14:textFill>
            <w14:solidFill>
              <w14:schemeClr w14:val="tx1"/>
            </w14:solidFill>
          </w14:textFill>
        </w:rPr>
      </w:pPr>
      <w:r>
        <w:rPr>
          <w:rFonts w:hint="eastAsia" w:ascii="楷体_GB2312" w:hAnsi="楷体_GB2312" w:eastAsia="楷体_GB2312" w:cs="楷体_GB2312"/>
          <w:bCs/>
          <w:color w:val="000000" w:themeColor="text1"/>
          <w:sz w:val="30"/>
          <w:szCs w:val="30"/>
          <w:lang w:val="zh-CN"/>
          <w14:textFill>
            <w14:solidFill>
              <w14:schemeClr w14:val="tx1"/>
            </w14:solidFill>
          </w14:textFill>
        </w:rPr>
        <w:t>（三）</w:t>
      </w:r>
      <w:r>
        <w:rPr>
          <w:rFonts w:hint="eastAsia" w:ascii="楷体_GB2312" w:hAnsi="楷体_GB2312" w:eastAsia="楷体_GB2312" w:cs="楷体_GB2312"/>
          <w:sz w:val="30"/>
          <w:szCs w:val="30"/>
        </w:rPr>
        <w:t>评分标准</w:t>
      </w:r>
    </w:p>
    <w:p>
      <w:pPr>
        <w:keepNext w:val="0"/>
        <w:keepLines w:val="0"/>
        <w:pageBreakBefore w:val="0"/>
        <w:kinsoku/>
        <w:wordWrap/>
        <w:autoSpaceDE/>
        <w:autoSpaceDN/>
        <w:bidi w:val="0"/>
        <w:snapToGrid w:val="0"/>
        <w:spacing w:line="360" w:lineRule="auto"/>
        <w:ind w:firstLine="600" w:firstLineChars="200"/>
        <w:textAlignment w:val="auto"/>
        <w:rPr>
          <w:rFonts w:ascii="仿宋_GB2312" w:hAnsi="仿宋" w:eastAsia="仿宋_GB2312" w:cs="Times New Roman"/>
          <w:sz w:val="30"/>
          <w:szCs w:val="30"/>
          <w:u w:val="single"/>
        </w:rPr>
      </w:pPr>
      <w:r>
        <w:rPr>
          <w:rFonts w:hint="eastAsia" w:ascii="仿宋_GB2312" w:hAnsi="仿宋" w:eastAsia="仿宋_GB2312" w:cs="Times New Roman"/>
          <w:sz w:val="30"/>
          <w:szCs w:val="30"/>
        </w:rPr>
        <w:sym w:font="Wingdings 2" w:char="00A3"/>
      </w:r>
      <w:r>
        <w:rPr>
          <w:rFonts w:hint="eastAsia" w:ascii="仿宋_GB2312" w:hAnsi="仿宋" w:eastAsia="仿宋_GB2312" w:cs="Times New Roman"/>
          <w:sz w:val="30"/>
          <w:szCs w:val="30"/>
        </w:rPr>
        <w:t>最低评标价法，选择该评审规则的理由：</w:t>
      </w:r>
      <w:r>
        <w:rPr>
          <w:rFonts w:hint="eastAsia" w:ascii="仿宋_GB2312" w:hAnsi="仿宋" w:eastAsia="仿宋_GB2312" w:cs="Times New Roman"/>
          <w:sz w:val="30"/>
          <w:szCs w:val="30"/>
          <w:u w:val="single"/>
        </w:rPr>
        <w:t xml:space="preserve">          </w:t>
      </w:r>
    </w:p>
    <w:p>
      <w:pPr>
        <w:keepNext w:val="0"/>
        <w:keepLines w:val="0"/>
        <w:pageBreakBefore w:val="0"/>
        <w:kinsoku/>
        <w:wordWrap/>
        <w:autoSpaceDE/>
        <w:autoSpaceDN/>
        <w:bidi w:val="0"/>
        <w:snapToGrid w:val="0"/>
        <w:spacing w:line="360" w:lineRule="auto"/>
        <w:ind w:firstLine="600" w:firstLineChars="200"/>
        <w:textAlignment w:val="auto"/>
        <w:rPr>
          <w:rFonts w:hint="eastAsia" w:ascii="仿宋_GB2312" w:hAnsi="仿宋" w:eastAsia="仿宋_GB2312" w:cs="Times New Roman"/>
          <w:sz w:val="30"/>
          <w:szCs w:val="30"/>
          <w:highlight w:val="none"/>
          <w:u w:val="single"/>
        </w:rPr>
      </w:pPr>
      <w:r>
        <w:rPr>
          <w:rFonts w:hint="eastAsia" w:ascii="仿宋_GB2312" w:hAnsi="仿宋" w:eastAsia="仿宋_GB2312" w:cs="Times New Roman"/>
          <w:sz w:val="30"/>
          <w:szCs w:val="30"/>
          <w:highlight w:val="none"/>
        </w:rPr>
        <w:sym w:font="Wingdings 2" w:char="0052"/>
      </w:r>
      <w:r>
        <w:rPr>
          <w:rFonts w:hint="eastAsia" w:ascii="仿宋_GB2312" w:hAnsi="仿宋" w:eastAsia="仿宋_GB2312" w:cs="Times New Roman"/>
          <w:sz w:val="30"/>
          <w:szCs w:val="30"/>
          <w:highlight w:val="none"/>
        </w:rPr>
        <w:t>综合评分法，选择该评审规则的理由：</w:t>
      </w:r>
      <w:r>
        <w:rPr>
          <w:rFonts w:hint="eastAsia" w:ascii="仿宋_GB2312" w:hAnsi="仿宋" w:eastAsia="仿宋_GB2312" w:cs="Times New Roman"/>
          <w:sz w:val="30"/>
          <w:szCs w:val="30"/>
          <w:highlight w:val="none"/>
          <w:u w:val="single"/>
        </w:rPr>
        <w:t xml:space="preserve">  </w:t>
      </w:r>
      <w:r>
        <w:rPr>
          <w:rFonts w:hint="eastAsia" w:ascii="仿宋_GB2312" w:hAnsi="仿宋" w:eastAsia="仿宋_GB2312" w:cs="Times New Roman"/>
          <w:sz w:val="30"/>
          <w:szCs w:val="30"/>
          <w:highlight w:val="none"/>
          <w:u w:val="single"/>
          <w:lang w:eastAsia="zh-CN"/>
        </w:rPr>
        <w:t>进一步保障弱电维保服务的人员保障、服务质量与时效，确保系统稳定正常，严防各类安全事故。</w:t>
      </w:r>
    </w:p>
    <w:p>
      <w:pPr>
        <w:widowControl/>
        <w:spacing w:line="360" w:lineRule="auto"/>
        <w:ind w:firstLine="480" w:firstLineChars="200"/>
        <w:jc w:val="left"/>
        <w:rPr>
          <w:rFonts w:ascii="宋体" w:hAnsi="宋体" w:cs="宋体"/>
          <w:kern w:val="0"/>
          <w:sz w:val="24"/>
          <w:lang w:bidi="ar"/>
        </w:rPr>
      </w:pPr>
      <w:r>
        <w:rPr>
          <w:rFonts w:hint="eastAsia" w:ascii="宋体" w:hAnsi="宋体" w:cs="宋体"/>
          <w:kern w:val="0"/>
          <w:sz w:val="24"/>
          <w:lang w:bidi="ar"/>
        </w:rPr>
        <w:t>综合评分：</w:t>
      </w:r>
    </w:p>
    <w:p>
      <w:pPr>
        <w:widowControl/>
        <w:spacing w:line="360" w:lineRule="auto"/>
        <w:ind w:firstLine="480" w:firstLineChars="200"/>
        <w:jc w:val="left"/>
        <w:rPr>
          <w:rFonts w:ascii="宋体" w:hAnsi="宋体" w:cs="宋体"/>
          <w:kern w:val="0"/>
          <w:sz w:val="24"/>
          <w:lang w:bidi="ar"/>
        </w:rPr>
      </w:pPr>
      <w:r>
        <w:rPr>
          <w:rFonts w:hint="eastAsia" w:ascii="宋体" w:hAnsi="宋体" w:cs="宋体"/>
          <w:kern w:val="0"/>
          <w:sz w:val="24"/>
          <w:lang w:bidi="ar"/>
        </w:rPr>
        <w:t>本次采购项目采用“综合评分法”。采购方不向投标商承诺最低价中标，对未成交投标商不作任何解释说明。</w:t>
      </w:r>
    </w:p>
    <w:tbl>
      <w:tblPr>
        <w:tblStyle w:val="10"/>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8"/>
        <w:gridCol w:w="1290"/>
        <w:gridCol w:w="4925"/>
        <w:gridCol w:w="1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8" w:type="dxa"/>
            <w:noWrap w:val="0"/>
            <w:vAlign w:val="top"/>
          </w:tcPr>
          <w:p>
            <w:pPr>
              <w:spacing w:line="360" w:lineRule="auto"/>
              <w:ind w:left="422" w:hanging="422"/>
              <w:jc w:val="center"/>
              <w:rPr>
                <w:rFonts w:cs="Times New Roman"/>
                <w:sz w:val="24"/>
                <w:szCs w:val="24"/>
                <w:lang w:eastAsia="zh-CN"/>
              </w:rPr>
            </w:pPr>
            <w:r>
              <w:rPr>
                <w:rFonts w:hint="eastAsia" w:cs="Times New Roman"/>
                <w:sz w:val="24"/>
                <w:szCs w:val="24"/>
                <w:lang w:eastAsia="zh-CN"/>
              </w:rPr>
              <w:t>序号</w:t>
            </w:r>
          </w:p>
        </w:tc>
        <w:tc>
          <w:tcPr>
            <w:tcW w:w="1290" w:type="dxa"/>
            <w:noWrap w:val="0"/>
            <w:vAlign w:val="top"/>
          </w:tcPr>
          <w:p>
            <w:pPr>
              <w:spacing w:line="360" w:lineRule="auto"/>
              <w:ind w:left="422" w:hanging="422"/>
              <w:jc w:val="center"/>
              <w:rPr>
                <w:rFonts w:cs="Times New Roman"/>
                <w:sz w:val="24"/>
                <w:szCs w:val="24"/>
                <w:lang w:eastAsia="zh-CN"/>
              </w:rPr>
            </w:pPr>
            <w:r>
              <w:rPr>
                <w:rFonts w:hint="eastAsia" w:cs="Times New Roman"/>
                <w:sz w:val="24"/>
                <w:szCs w:val="24"/>
                <w:lang w:eastAsia="zh-CN"/>
              </w:rPr>
              <w:t>评审因素</w:t>
            </w:r>
          </w:p>
        </w:tc>
        <w:tc>
          <w:tcPr>
            <w:tcW w:w="4925" w:type="dxa"/>
            <w:noWrap w:val="0"/>
            <w:vAlign w:val="top"/>
          </w:tcPr>
          <w:p>
            <w:pPr>
              <w:spacing w:line="360" w:lineRule="auto"/>
              <w:jc w:val="center"/>
              <w:rPr>
                <w:rFonts w:cs="Times New Roman"/>
                <w:sz w:val="24"/>
                <w:szCs w:val="24"/>
                <w:lang w:eastAsia="zh-CN"/>
              </w:rPr>
            </w:pPr>
            <w:r>
              <w:rPr>
                <w:rFonts w:hint="eastAsia" w:cs="Times New Roman"/>
                <w:sz w:val="24"/>
                <w:szCs w:val="24"/>
                <w:lang w:eastAsia="zh-CN"/>
              </w:rPr>
              <w:t>评分标准说明</w:t>
            </w:r>
          </w:p>
        </w:tc>
        <w:tc>
          <w:tcPr>
            <w:tcW w:w="1225" w:type="dxa"/>
            <w:noWrap w:val="0"/>
            <w:vAlign w:val="top"/>
          </w:tcPr>
          <w:p>
            <w:pPr>
              <w:spacing w:line="360" w:lineRule="auto"/>
              <w:jc w:val="center"/>
              <w:rPr>
                <w:sz w:val="24"/>
                <w:szCs w:val="24"/>
                <w:lang w:eastAsia="zh-CN"/>
              </w:rPr>
            </w:pPr>
            <w:r>
              <w:rPr>
                <w:rFonts w:hint="eastAsia"/>
                <w:sz w:val="24"/>
                <w:szCs w:val="24"/>
                <w:lang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8" w:type="dxa"/>
            <w:noWrap w:val="0"/>
            <w:vAlign w:val="center"/>
          </w:tcPr>
          <w:p>
            <w:pPr>
              <w:adjustRightInd w:val="0"/>
              <w:snapToGrid w:val="0"/>
              <w:spacing w:line="360" w:lineRule="auto"/>
              <w:jc w:val="center"/>
              <w:rPr>
                <w:rFonts w:cs="Times New Roman"/>
                <w:sz w:val="24"/>
                <w:szCs w:val="24"/>
                <w:lang w:eastAsia="zh-CN"/>
              </w:rPr>
            </w:pPr>
            <w:r>
              <w:rPr>
                <w:rFonts w:hint="eastAsia" w:cs="Times New Roman"/>
                <w:sz w:val="24"/>
                <w:szCs w:val="24"/>
                <w:lang w:eastAsia="zh-CN"/>
              </w:rPr>
              <w:t>1</w:t>
            </w:r>
          </w:p>
        </w:tc>
        <w:tc>
          <w:tcPr>
            <w:tcW w:w="1290" w:type="dxa"/>
            <w:noWrap w:val="0"/>
            <w:vAlign w:val="center"/>
          </w:tcPr>
          <w:p>
            <w:pPr>
              <w:adjustRightInd w:val="0"/>
              <w:snapToGrid w:val="0"/>
              <w:spacing w:line="360" w:lineRule="auto"/>
              <w:jc w:val="center"/>
              <w:rPr>
                <w:rFonts w:hint="eastAsia" w:cs="Times New Roman"/>
                <w:sz w:val="24"/>
                <w:szCs w:val="24"/>
                <w:lang w:eastAsia="zh-CN"/>
              </w:rPr>
            </w:pPr>
            <w:r>
              <w:rPr>
                <w:rFonts w:hint="eastAsia" w:cs="Times New Roman"/>
                <w:sz w:val="24"/>
                <w:szCs w:val="24"/>
                <w:lang w:eastAsia="zh-CN"/>
              </w:rPr>
              <w:t>投标报价   （</w:t>
            </w:r>
            <w:r>
              <w:rPr>
                <w:rFonts w:hint="eastAsia" w:cs="Times New Roman"/>
                <w:sz w:val="24"/>
                <w:szCs w:val="24"/>
                <w:lang w:val="en-US" w:eastAsia="zh-CN"/>
              </w:rPr>
              <w:t>40</w:t>
            </w:r>
            <w:r>
              <w:rPr>
                <w:rFonts w:hint="eastAsia" w:cs="Times New Roman"/>
                <w:sz w:val="24"/>
                <w:szCs w:val="24"/>
                <w:lang w:eastAsia="zh-CN"/>
              </w:rPr>
              <w:t>分</w:t>
            </w:r>
            <w:r>
              <w:rPr>
                <w:rFonts w:cs="Times New Roman"/>
                <w:sz w:val="24"/>
                <w:szCs w:val="24"/>
                <w:lang w:eastAsia="zh-CN"/>
              </w:rPr>
              <w:t>）</w:t>
            </w:r>
          </w:p>
        </w:tc>
        <w:tc>
          <w:tcPr>
            <w:tcW w:w="4925" w:type="dxa"/>
            <w:noWrap w:val="0"/>
            <w:vAlign w:val="top"/>
          </w:tcPr>
          <w:p>
            <w:pPr>
              <w:spacing w:line="360" w:lineRule="auto"/>
              <w:rPr>
                <w:sz w:val="24"/>
                <w:szCs w:val="24"/>
                <w:lang w:eastAsia="zh-CN"/>
              </w:rPr>
            </w:pPr>
            <w:r>
              <w:rPr>
                <w:rFonts w:hint="eastAsia"/>
                <w:sz w:val="24"/>
                <w:szCs w:val="24"/>
                <w:lang w:eastAsia="zh-CN"/>
              </w:rPr>
              <w:t>竞争性磋商文件要求且价格以合理价的磋商报价为评审基准价，其价格分为满分。其他供应商的价格分统一按照下列公式计算：</w:t>
            </w:r>
          </w:p>
          <w:p>
            <w:pPr>
              <w:spacing w:line="360" w:lineRule="auto"/>
              <w:rPr>
                <w:sz w:val="24"/>
                <w:szCs w:val="24"/>
                <w:highlight w:val="none"/>
                <w:lang w:eastAsia="zh-CN"/>
              </w:rPr>
            </w:pPr>
            <w:r>
              <w:rPr>
                <w:rFonts w:hint="eastAsia"/>
                <w:sz w:val="24"/>
                <w:szCs w:val="24"/>
                <w:highlight w:val="none"/>
                <w:lang w:eastAsia="zh-CN"/>
              </w:rPr>
              <w:t>磋商报价得分</w:t>
            </w:r>
            <w:r>
              <w:rPr>
                <w:sz w:val="24"/>
                <w:szCs w:val="24"/>
                <w:highlight w:val="none"/>
                <w:lang w:eastAsia="zh-CN"/>
              </w:rPr>
              <w:t>=（评审基准价/磋商报价）×</w:t>
            </w:r>
            <w:r>
              <w:rPr>
                <w:rFonts w:hint="eastAsia"/>
                <w:sz w:val="24"/>
                <w:szCs w:val="24"/>
                <w:highlight w:val="none"/>
                <w:lang w:val="en-US" w:eastAsia="zh-CN"/>
              </w:rPr>
              <w:t>40</w:t>
            </w:r>
            <w:r>
              <w:rPr>
                <w:sz w:val="24"/>
                <w:szCs w:val="24"/>
                <w:highlight w:val="none"/>
                <w:lang w:eastAsia="zh-CN"/>
              </w:rPr>
              <w:t>%×100</w:t>
            </w:r>
          </w:p>
          <w:p>
            <w:pPr>
              <w:spacing w:line="360" w:lineRule="auto"/>
              <w:rPr>
                <w:sz w:val="24"/>
                <w:szCs w:val="24"/>
                <w:lang w:eastAsia="zh-CN"/>
              </w:rPr>
            </w:pPr>
            <w:r>
              <w:rPr>
                <w:rFonts w:hint="eastAsia"/>
                <w:sz w:val="24"/>
                <w:szCs w:val="24"/>
                <w:lang w:eastAsia="zh-CN"/>
              </w:rPr>
              <w:t>注：</w:t>
            </w:r>
            <w:r>
              <w:rPr>
                <w:sz w:val="24"/>
                <w:szCs w:val="24"/>
                <w:lang w:eastAsia="zh-CN"/>
              </w:rPr>
              <w:t>a、以按照竞争性磋商文件规定修正</w:t>
            </w:r>
            <w:bookmarkStart w:id="0" w:name="_GoBack"/>
            <w:bookmarkEnd w:id="0"/>
            <w:r>
              <w:rPr>
                <w:sz w:val="24"/>
                <w:szCs w:val="24"/>
                <w:lang w:eastAsia="zh-CN"/>
              </w:rPr>
              <w:t>后的所有合格供应商的最低价为评分基准价。</w:t>
            </w:r>
          </w:p>
          <w:p>
            <w:pPr>
              <w:spacing w:line="360" w:lineRule="auto"/>
              <w:jc w:val="both"/>
              <w:rPr>
                <w:rFonts w:hint="eastAsia" w:ascii="仿宋_GB2312" w:hAnsi="仿宋_GB2312" w:eastAsia="仿宋_GB2312" w:cs="仿宋_GB2312"/>
                <w:sz w:val="24"/>
                <w:szCs w:val="24"/>
                <w:lang w:eastAsia="zh-CN"/>
              </w:rPr>
            </w:pPr>
            <w:r>
              <w:rPr>
                <w:sz w:val="24"/>
                <w:szCs w:val="24"/>
                <w:lang w:eastAsia="zh-CN"/>
              </w:rPr>
              <w:t>b、磋商小组会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磋商响应处理。</w:t>
            </w:r>
          </w:p>
        </w:tc>
        <w:tc>
          <w:tcPr>
            <w:tcW w:w="1225" w:type="dxa"/>
            <w:noWrap w:val="0"/>
            <w:vAlign w:val="center"/>
          </w:tcPr>
          <w:p>
            <w:pPr>
              <w:adjustRightInd w:val="0"/>
              <w:snapToGrid w:val="0"/>
              <w:spacing w:line="360" w:lineRule="auto"/>
              <w:jc w:val="center"/>
              <w:rPr>
                <w:rFonts w:hint="default" w:cs="Times New Roman"/>
                <w:sz w:val="24"/>
                <w:szCs w:val="24"/>
                <w:lang w:val="en-US" w:eastAsia="zh-CN"/>
              </w:rPr>
            </w:pPr>
            <w:r>
              <w:rPr>
                <w:rFonts w:hint="eastAsia" w:cs="Times New Roman"/>
                <w:sz w:val="24"/>
                <w:szCs w:val="24"/>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98" w:type="dxa"/>
            <w:vMerge w:val="restart"/>
            <w:noWrap w:val="0"/>
            <w:vAlign w:val="center"/>
          </w:tcPr>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hint="default" w:cs="Times New Roman"/>
                <w:sz w:val="24"/>
                <w:szCs w:val="24"/>
                <w:lang w:val="en-US" w:eastAsia="zh-CN"/>
              </w:rPr>
            </w:pPr>
            <w:r>
              <w:rPr>
                <w:rFonts w:hint="eastAsia" w:cs="Times New Roman"/>
                <w:sz w:val="24"/>
                <w:szCs w:val="24"/>
                <w:lang w:val="en-US" w:eastAsia="zh-CN"/>
              </w:rPr>
              <w:t>2</w:t>
            </w:r>
          </w:p>
        </w:tc>
        <w:tc>
          <w:tcPr>
            <w:tcW w:w="1290" w:type="dxa"/>
            <w:vMerge w:val="restart"/>
            <w:noWrap w:val="0"/>
            <w:vAlign w:val="center"/>
          </w:tcPr>
          <w:p>
            <w:pPr>
              <w:spacing w:line="360" w:lineRule="auto"/>
              <w:jc w:val="both"/>
              <w:rPr>
                <w:rFonts w:hint="eastAsia" w:cs="仿宋_GB2312"/>
                <w:kern w:val="2"/>
                <w:sz w:val="24"/>
                <w:szCs w:val="24"/>
                <w:lang w:eastAsia="zh-CN"/>
              </w:rPr>
            </w:pPr>
            <w:r>
              <w:rPr>
                <w:rFonts w:hint="eastAsia" w:cs="仿宋_GB2312"/>
                <w:kern w:val="2"/>
                <w:sz w:val="24"/>
                <w:szCs w:val="24"/>
                <w:lang w:eastAsia="zh-CN"/>
              </w:rPr>
              <w:t xml:space="preserve">服务和技术部分 </w:t>
            </w:r>
          </w:p>
          <w:p>
            <w:pPr>
              <w:spacing w:line="360" w:lineRule="auto"/>
              <w:jc w:val="center"/>
              <w:rPr>
                <w:rFonts w:cs="仿宋_GB2312"/>
                <w:kern w:val="2"/>
                <w:sz w:val="24"/>
                <w:szCs w:val="24"/>
                <w:lang w:eastAsia="zh-CN"/>
              </w:rPr>
            </w:pPr>
            <w:r>
              <w:rPr>
                <w:rFonts w:hint="eastAsia" w:cs="仿宋_GB2312"/>
                <w:kern w:val="2"/>
                <w:sz w:val="24"/>
                <w:szCs w:val="24"/>
                <w:lang w:eastAsia="zh-CN"/>
              </w:rPr>
              <w:t>（</w:t>
            </w:r>
            <w:r>
              <w:rPr>
                <w:rFonts w:hint="eastAsia" w:cs="仿宋_GB2312"/>
                <w:kern w:val="2"/>
                <w:sz w:val="24"/>
                <w:szCs w:val="24"/>
                <w:lang w:val="en-US" w:eastAsia="zh-CN"/>
              </w:rPr>
              <w:t>60</w:t>
            </w:r>
            <w:r>
              <w:rPr>
                <w:rFonts w:hint="eastAsia" w:cs="仿宋_GB2312"/>
                <w:kern w:val="2"/>
                <w:sz w:val="24"/>
                <w:szCs w:val="24"/>
                <w:lang w:eastAsia="zh-CN"/>
              </w:rPr>
              <w:t>分）</w:t>
            </w:r>
          </w:p>
          <w:p>
            <w:pPr>
              <w:spacing w:line="360" w:lineRule="auto"/>
              <w:rPr>
                <w:rFonts w:hint="eastAsia"/>
                <w:sz w:val="24"/>
                <w:szCs w:val="24"/>
                <w:lang w:eastAsia="zh-CN"/>
              </w:rPr>
            </w:pPr>
          </w:p>
        </w:tc>
        <w:tc>
          <w:tcPr>
            <w:tcW w:w="4925" w:type="dxa"/>
            <w:noWrap w:val="0"/>
            <w:vAlign w:val="center"/>
          </w:tcPr>
          <w:p>
            <w:pPr>
              <w:widowControl/>
              <w:adjustRightInd w:val="0"/>
              <w:snapToGrid w:val="0"/>
              <w:spacing w:line="360" w:lineRule="auto"/>
              <w:rPr>
                <w:rFonts w:cs="Times New Roman"/>
                <w:b/>
                <w:sz w:val="24"/>
                <w:szCs w:val="24"/>
                <w:lang w:eastAsia="zh-CN"/>
              </w:rPr>
            </w:pPr>
            <w:r>
              <w:rPr>
                <w:rFonts w:hint="eastAsia" w:cs="Times New Roman"/>
                <w:b/>
                <w:sz w:val="24"/>
                <w:szCs w:val="24"/>
                <w:lang w:eastAsia="zh-CN"/>
              </w:rPr>
              <w:t>维保实施方案：</w:t>
            </w:r>
          </w:p>
          <w:p>
            <w:pPr>
              <w:widowControl/>
              <w:adjustRightInd w:val="0"/>
              <w:snapToGrid w:val="0"/>
              <w:spacing w:line="360" w:lineRule="auto"/>
              <w:rPr>
                <w:rFonts w:cs="Times New Roman"/>
                <w:sz w:val="24"/>
                <w:szCs w:val="24"/>
                <w:lang w:eastAsia="zh-CN"/>
              </w:rPr>
            </w:pPr>
            <w:r>
              <w:rPr>
                <w:rFonts w:hint="eastAsia" w:cs="Times New Roman"/>
                <w:sz w:val="24"/>
                <w:szCs w:val="24"/>
                <w:lang w:eastAsia="zh-CN"/>
              </w:rPr>
              <w:t>1.方案内容编制详细、具体，内容齐全，有具体可行的、规范的技术服务措施，完全能满足本项目提出的所有技术服务要求，综合评价优得20—30分；</w:t>
            </w:r>
          </w:p>
          <w:p>
            <w:pPr>
              <w:widowControl/>
              <w:adjustRightInd w:val="0"/>
              <w:snapToGrid w:val="0"/>
              <w:spacing w:line="360" w:lineRule="auto"/>
              <w:rPr>
                <w:rFonts w:cs="Times New Roman"/>
                <w:sz w:val="24"/>
                <w:szCs w:val="24"/>
                <w:lang w:eastAsia="zh-CN"/>
              </w:rPr>
            </w:pPr>
            <w:r>
              <w:rPr>
                <w:rFonts w:hint="eastAsia" w:cs="Times New Roman"/>
                <w:sz w:val="24"/>
                <w:szCs w:val="24"/>
                <w:lang w:eastAsia="zh-CN"/>
              </w:rPr>
              <w:t>2.方案内容编制比较详细，技术服务措施一般，能满足本项目提出的所有技术服务要求，综合评价良得10-19分；</w:t>
            </w:r>
          </w:p>
          <w:p>
            <w:pPr>
              <w:widowControl/>
              <w:adjustRightInd w:val="0"/>
              <w:snapToGrid w:val="0"/>
              <w:spacing w:line="360" w:lineRule="auto"/>
              <w:rPr>
                <w:rFonts w:cs="Times New Roman"/>
                <w:sz w:val="24"/>
                <w:szCs w:val="24"/>
                <w:lang w:eastAsia="zh-CN"/>
              </w:rPr>
            </w:pPr>
            <w:r>
              <w:rPr>
                <w:rFonts w:hint="eastAsia" w:cs="Times New Roman"/>
                <w:sz w:val="24"/>
                <w:szCs w:val="24"/>
                <w:lang w:eastAsia="zh-CN"/>
              </w:rPr>
              <w:t>3.方案内容编制一般，笼统，能基本满足本项目提出的所有要求，综合评价一般得1-9分；</w:t>
            </w:r>
          </w:p>
          <w:p>
            <w:pPr>
              <w:widowControl/>
              <w:adjustRightInd w:val="0"/>
              <w:snapToGrid w:val="0"/>
              <w:spacing w:line="360" w:lineRule="auto"/>
              <w:rPr>
                <w:rFonts w:cs="Times New Roman"/>
                <w:sz w:val="24"/>
                <w:szCs w:val="24"/>
              </w:rPr>
            </w:pPr>
            <w:r>
              <w:rPr>
                <w:rFonts w:hint="eastAsia" w:cs="Times New Roman"/>
                <w:sz w:val="24"/>
                <w:szCs w:val="24"/>
              </w:rPr>
              <w:t>4.无方案得0分。</w:t>
            </w:r>
          </w:p>
        </w:tc>
        <w:tc>
          <w:tcPr>
            <w:tcW w:w="1225" w:type="dxa"/>
            <w:noWrap w:val="0"/>
            <w:vAlign w:val="center"/>
          </w:tcPr>
          <w:p>
            <w:pPr>
              <w:adjustRightInd w:val="0"/>
              <w:snapToGrid w:val="0"/>
              <w:spacing w:line="360" w:lineRule="auto"/>
              <w:jc w:val="center"/>
              <w:rPr>
                <w:rFonts w:hint="eastAsia" w:cs="Times New Roman"/>
                <w:sz w:val="24"/>
                <w:szCs w:val="24"/>
                <w:lang w:eastAsia="zh-CN"/>
              </w:rPr>
            </w:pPr>
            <w:r>
              <w:rPr>
                <w:rFonts w:hint="eastAsia" w:cs="Times New Roman"/>
                <w:sz w:val="24"/>
                <w:szCs w:val="24"/>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98" w:type="dxa"/>
            <w:vMerge w:val="continue"/>
            <w:noWrap w:val="0"/>
            <w:vAlign w:val="center"/>
          </w:tcPr>
          <w:p>
            <w:pPr>
              <w:adjustRightInd w:val="0"/>
              <w:snapToGrid w:val="0"/>
              <w:spacing w:line="360" w:lineRule="auto"/>
              <w:jc w:val="center"/>
              <w:rPr>
                <w:rFonts w:cs="Times New Roman"/>
                <w:sz w:val="24"/>
                <w:szCs w:val="24"/>
                <w:lang w:eastAsia="zh-CN"/>
              </w:rPr>
            </w:pPr>
          </w:p>
        </w:tc>
        <w:tc>
          <w:tcPr>
            <w:tcW w:w="1290" w:type="dxa"/>
            <w:vMerge w:val="continue"/>
            <w:noWrap w:val="0"/>
            <w:vAlign w:val="center"/>
          </w:tcPr>
          <w:p>
            <w:pPr>
              <w:tabs>
                <w:tab w:val="left" w:pos="709"/>
              </w:tabs>
              <w:spacing w:line="360" w:lineRule="auto"/>
              <w:jc w:val="center"/>
              <w:rPr>
                <w:rFonts w:hint="eastAsia" w:cs="Arial"/>
                <w:bCs/>
                <w:kern w:val="2"/>
                <w:sz w:val="24"/>
                <w:szCs w:val="24"/>
                <w:lang w:eastAsia="zh-CN"/>
              </w:rPr>
            </w:pPr>
          </w:p>
        </w:tc>
        <w:tc>
          <w:tcPr>
            <w:tcW w:w="4925" w:type="dxa"/>
            <w:noWrap w:val="0"/>
            <w:vAlign w:val="center"/>
          </w:tcPr>
          <w:p>
            <w:pPr>
              <w:adjustRightInd w:val="0"/>
              <w:snapToGrid w:val="0"/>
              <w:spacing w:line="360" w:lineRule="auto"/>
              <w:rPr>
                <w:rFonts w:cs="Times New Roman"/>
                <w:b/>
                <w:bCs/>
                <w:sz w:val="24"/>
                <w:szCs w:val="24"/>
                <w:lang w:eastAsia="zh-CN"/>
              </w:rPr>
            </w:pPr>
            <w:r>
              <w:rPr>
                <w:rFonts w:hint="eastAsia" w:cs="Times New Roman"/>
                <w:b/>
                <w:bCs/>
                <w:sz w:val="24"/>
                <w:szCs w:val="24"/>
                <w:lang w:eastAsia="zh-CN"/>
              </w:rPr>
              <w:t>服务承诺：</w:t>
            </w:r>
          </w:p>
          <w:p>
            <w:pPr>
              <w:adjustRightInd w:val="0"/>
              <w:snapToGrid w:val="0"/>
              <w:spacing w:line="360" w:lineRule="auto"/>
              <w:rPr>
                <w:rFonts w:cs="Times New Roman"/>
                <w:sz w:val="24"/>
                <w:szCs w:val="24"/>
                <w:lang w:eastAsia="zh-CN"/>
              </w:rPr>
            </w:pPr>
            <w:r>
              <w:rPr>
                <w:rFonts w:hint="eastAsia" w:cs="Times New Roman"/>
                <w:bCs/>
                <w:sz w:val="24"/>
                <w:szCs w:val="24"/>
                <w:lang w:eastAsia="zh-CN"/>
              </w:rPr>
              <w:t>1.有较完善的人员数量保证和服务质量保证承诺得</w:t>
            </w:r>
            <w:r>
              <w:rPr>
                <w:rFonts w:hint="eastAsia" w:cs="Times New Roman"/>
                <w:bCs/>
                <w:sz w:val="24"/>
                <w:szCs w:val="24"/>
                <w:lang w:val="en-US" w:eastAsia="zh-CN"/>
              </w:rPr>
              <w:t>8-15</w:t>
            </w:r>
            <w:r>
              <w:rPr>
                <w:rFonts w:hint="eastAsia" w:cs="Times New Roman"/>
                <w:bCs/>
                <w:sz w:val="24"/>
                <w:szCs w:val="24"/>
                <w:lang w:eastAsia="zh-CN"/>
              </w:rPr>
              <w:t>分；</w:t>
            </w:r>
          </w:p>
          <w:p>
            <w:pPr>
              <w:adjustRightInd w:val="0"/>
              <w:snapToGrid w:val="0"/>
              <w:spacing w:line="360" w:lineRule="auto"/>
              <w:rPr>
                <w:rFonts w:cs="Times New Roman"/>
                <w:sz w:val="24"/>
                <w:szCs w:val="24"/>
                <w:lang w:eastAsia="zh-CN"/>
              </w:rPr>
            </w:pPr>
            <w:r>
              <w:rPr>
                <w:rFonts w:hint="eastAsia" w:cs="Times New Roman"/>
                <w:bCs/>
                <w:sz w:val="24"/>
                <w:szCs w:val="24"/>
                <w:lang w:eastAsia="zh-CN"/>
              </w:rPr>
              <w:t>2.承诺</w:t>
            </w:r>
            <w:r>
              <w:rPr>
                <w:rFonts w:hint="eastAsia" w:cs="Times New Roman"/>
                <w:sz w:val="24"/>
                <w:szCs w:val="24"/>
                <w:lang w:eastAsia="zh-CN"/>
              </w:rPr>
              <w:t>内容一般得4-</w:t>
            </w:r>
            <w:r>
              <w:rPr>
                <w:rFonts w:cs="Times New Roman"/>
                <w:sz w:val="24"/>
                <w:szCs w:val="24"/>
                <w:lang w:eastAsia="zh-CN"/>
              </w:rPr>
              <w:t>7</w:t>
            </w:r>
            <w:r>
              <w:rPr>
                <w:rFonts w:hint="eastAsia" w:cs="Times New Roman"/>
                <w:sz w:val="24"/>
                <w:szCs w:val="24"/>
                <w:lang w:eastAsia="zh-CN"/>
              </w:rPr>
              <w:t>分；</w:t>
            </w:r>
          </w:p>
          <w:p>
            <w:pPr>
              <w:adjustRightInd w:val="0"/>
              <w:snapToGrid w:val="0"/>
              <w:spacing w:line="360" w:lineRule="auto"/>
              <w:rPr>
                <w:rFonts w:cs="Times New Roman"/>
                <w:bCs/>
                <w:sz w:val="24"/>
                <w:szCs w:val="24"/>
                <w:lang w:eastAsia="zh-CN"/>
              </w:rPr>
            </w:pPr>
            <w:r>
              <w:rPr>
                <w:rFonts w:hint="eastAsia" w:cs="Times New Roman"/>
                <w:bCs/>
                <w:sz w:val="24"/>
                <w:szCs w:val="24"/>
                <w:lang w:eastAsia="zh-CN"/>
              </w:rPr>
              <w:t>3.承诺</w:t>
            </w:r>
            <w:r>
              <w:rPr>
                <w:rFonts w:hint="eastAsia" w:cs="Times New Roman"/>
                <w:sz w:val="24"/>
                <w:szCs w:val="24"/>
                <w:lang w:eastAsia="zh-CN"/>
              </w:rPr>
              <w:t>内容不完善得1-3分；</w:t>
            </w:r>
          </w:p>
          <w:p>
            <w:pPr>
              <w:widowControl/>
              <w:adjustRightInd w:val="0"/>
              <w:snapToGrid w:val="0"/>
              <w:spacing w:line="360" w:lineRule="auto"/>
              <w:rPr>
                <w:rFonts w:cs="Times New Roman"/>
                <w:sz w:val="24"/>
                <w:szCs w:val="24"/>
              </w:rPr>
            </w:pPr>
            <w:r>
              <w:rPr>
                <w:rFonts w:hint="eastAsia" w:cs="Times New Roman"/>
                <w:sz w:val="24"/>
                <w:szCs w:val="24"/>
              </w:rPr>
              <w:t>4.无服务承诺得0分。</w:t>
            </w:r>
          </w:p>
        </w:tc>
        <w:tc>
          <w:tcPr>
            <w:tcW w:w="1225" w:type="dxa"/>
            <w:noWrap w:val="0"/>
            <w:vAlign w:val="center"/>
          </w:tcPr>
          <w:p>
            <w:pPr>
              <w:widowControl/>
              <w:spacing w:line="360" w:lineRule="auto"/>
              <w:jc w:val="center"/>
              <w:rPr>
                <w:rFonts w:hint="default" w:cs="Times New Roman"/>
                <w:sz w:val="24"/>
                <w:szCs w:val="24"/>
                <w:lang w:val="en-US" w:eastAsia="zh-CN"/>
              </w:rPr>
            </w:pPr>
            <w:r>
              <w:rPr>
                <w:rFonts w:cs="Times New Roman"/>
                <w:sz w:val="24"/>
                <w:szCs w:val="24"/>
                <w:lang w:eastAsia="zh-CN"/>
              </w:rPr>
              <w:t>1</w:t>
            </w:r>
            <w:r>
              <w:rPr>
                <w:rFonts w:hint="eastAsia" w:cs="Times New Roman"/>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8" w:hRule="atLeast"/>
          <w:jc w:val="center"/>
        </w:trPr>
        <w:tc>
          <w:tcPr>
            <w:tcW w:w="998" w:type="dxa"/>
            <w:vMerge w:val="continue"/>
            <w:noWrap w:val="0"/>
            <w:vAlign w:val="center"/>
          </w:tcPr>
          <w:p>
            <w:pPr>
              <w:adjustRightInd w:val="0"/>
              <w:snapToGrid w:val="0"/>
              <w:spacing w:line="360" w:lineRule="auto"/>
              <w:jc w:val="center"/>
              <w:rPr>
                <w:rFonts w:cs="Times New Roman"/>
                <w:sz w:val="24"/>
                <w:szCs w:val="24"/>
                <w:lang w:eastAsia="zh-CN"/>
              </w:rPr>
            </w:pPr>
          </w:p>
        </w:tc>
        <w:tc>
          <w:tcPr>
            <w:tcW w:w="1290" w:type="dxa"/>
            <w:vMerge w:val="continue"/>
            <w:noWrap w:val="0"/>
            <w:vAlign w:val="center"/>
          </w:tcPr>
          <w:p>
            <w:pPr>
              <w:tabs>
                <w:tab w:val="left" w:pos="709"/>
              </w:tabs>
              <w:spacing w:line="360" w:lineRule="auto"/>
              <w:jc w:val="center"/>
              <w:rPr>
                <w:rFonts w:hint="eastAsia" w:cs="Arial"/>
                <w:bCs/>
                <w:kern w:val="2"/>
                <w:sz w:val="24"/>
                <w:szCs w:val="24"/>
                <w:lang w:eastAsia="zh-CN"/>
              </w:rPr>
            </w:pPr>
          </w:p>
        </w:tc>
        <w:tc>
          <w:tcPr>
            <w:tcW w:w="4925" w:type="dxa"/>
            <w:noWrap w:val="0"/>
            <w:vAlign w:val="center"/>
          </w:tcPr>
          <w:p>
            <w:pPr>
              <w:widowControl/>
              <w:adjustRightInd w:val="0"/>
              <w:snapToGrid w:val="0"/>
              <w:spacing w:line="360" w:lineRule="auto"/>
              <w:rPr>
                <w:rFonts w:cs="Times New Roman"/>
                <w:b/>
                <w:bCs/>
                <w:sz w:val="24"/>
                <w:szCs w:val="24"/>
                <w:lang w:eastAsia="zh-CN"/>
              </w:rPr>
            </w:pPr>
            <w:r>
              <w:rPr>
                <w:rFonts w:hint="eastAsia" w:cs="Times New Roman"/>
                <w:b/>
                <w:bCs/>
                <w:sz w:val="24"/>
                <w:szCs w:val="24"/>
                <w:lang w:eastAsia="zh-CN"/>
              </w:rPr>
              <w:t>维保质量保证</w:t>
            </w:r>
            <w:r>
              <w:rPr>
                <w:rFonts w:cs="Times New Roman"/>
                <w:b/>
                <w:bCs/>
                <w:sz w:val="24"/>
                <w:szCs w:val="24"/>
                <w:lang w:eastAsia="zh-CN"/>
              </w:rPr>
              <w:t>措施</w:t>
            </w:r>
            <w:r>
              <w:rPr>
                <w:rFonts w:hint="eastAsia" w:cs="Times New Roman"/>
                <w:b/>
                <w:bCs/>
                <w:sz w:val="24"/>
                <w:szCs w:val="24"/>
                <w:lang w:eastAsia="zh-CN"/>
              </w:rPr>
              <w:t>：</w:t>
            </w:r>
          </w:p>
          <w:p>
            <w:pPr>
              <w:widowControl/>
              <w:adjustRightInd w:val="0"/>
              <w:snapToGrid w:val="0"/>
              <w:spacing w:line="360" w:lineRule="auto"/>
              <w:rPr>
                <w:rFonts w:cs="Times New Roman"/>
                <w:bCs/>
                <w:sz w:val="24"/>
                <w:szCs w:val="24"/>
                <w:lang w:eastAsia="zh-CN"/>
              </w:rPr>
            </w:pPr>
            <w:r>
              <w:rPr>
                <w:rFonts w:hint="eastAsia" w:cs="Times New Roman"/>
                <w:bCs/>
                <w:sz w:val="24"/>
                <w:szCs w:val="24"/>
                <w:lang w:eastAsia="zh-CN"/>
              </w:rPr>
              <w:t>1.内容齐全、人员配备、</w:t>
            </w:r>
            <w:r>
              <w:rPr>
                <w:rFonts w:hint="eastAsia" w:cs="Times New Roman"/>
                <w:sz w:val="24"/>
                <w:szCs w:val="24"/>
                <w:lang w:eastAsia="zh-CN"/>
              </w:rPr>
              <w:t>应急保障方案全面、合理、</w:t>
            </w:r>
            <w:r>
              <w:rPr>
                <w:rFonts w:hint="eastAsia" w:cs="Times New Roman"/>
                <w:bCs/>
                <w:sz w:val="24"/>
                <w:szCs w:val="24"/>
                <w:lang w:eastAsia="zh-CN"/>
              </w:rPr>
              <w:t>措施有效，得</w:t>
            </w:r>
            <w:r>
              <w:rPr>
                <w:rFonts w:cs="Times New Roman"/>
                <w:bCs/>
                <w:sz w:val="24"/>
                <w:szCs w:val="24"/>
                <w:lang w:eastAsia="zh-CN"/>
              </w:rPr>
              <w:t>8</w:t>
            </w:r>
            <w:r>
              <w:rPr>
                <w:rFonts w:hint="eastAsia" w:cs="Times New Roman"/>
                <w:bCs/>
                <w:sz w:val="24"/>
                <w:szCs w:val="24"/>
                <w:lang w:eastAsia="zh-CN"/>
              </w:rPr>
              <w:t>-</w:t>
            </w:r>
            <w:r>
              <w:rPr>
                <w:rFonts w:cs="Times New Roman"/>
                <w:bCs/>
                <w:sz w:val="24"/>
                <w:szCs w:val="24"/>
                <w:lang w:eastAsia="zh-CN"/>
              </w:rPr>
              <w:t>1</w:t>
            </w:r>
            <w:r>
              <w:rPr>
                <w:rFonts w:hint="eastAsia" w:cs="Times New Roman"/>
                <w:bCs/>
                <w:sz w:val="24"/>
                <w:szCs w:val="24"/>
                <w:lang w:val="en-US" w:eastAsia="zh-CN"/>
              </w:rPr>
              <w:t>5</w:t>
            </w:r>
            <w:r>
              <w:rPr>
                <w:rFonts w:hint="eastAsia" w:cs="Times New Roman"/>
                <w:bCs/>
                <w:sz w:val="24"/>
                <w:szCs w:val="24"/>
                <w:lang w:eastAsia="zh-CN"/>
              </w:rPr>
              <w:t>分；</w:t>
            </w:r>
          </w:p>
          <w:p>
            <w:pPr>
              <w:widowControl/>
              <w:adjustRightInd w:val="0"/>
              <w:snapToGrid w:val="0"/>
              <w:spacing w:line="360" w:lineRule="auto"/>
              <w:rPr>
                <w:rFonts w:cs="Times New Roman"/>
                <w:bCs/>
                <w:sz w:val="24"/>
                <w:szCs w:val="24"/>
                <w:lang w:eastAsia="zh-CN"/>
              </w:rPr>
            </w:pPr>
            <w:r>
              <w:rPr>
                <w:rFonts w:hint="eastAsia" w:cs="Times New Roman"/>
                <w:bCs/>
                <w:sz w:val="24"/>
                <w:szCs w:val="24"/>
                <w:lang w:eastAsia="zh-CN"/>
              </w:rPr>
              <w:t>2.内容笼统、人员配备、</w:t>
            </w:r>
            <w:r>
              <w:rPr>
                <w:rFonts w:hint="eastAsia" w:cs="Times New Roman"/>
                <w:sz w:val="24"/>
                <w:szCs w:val="24"/>
                <w:lang w:eastAsia="zh-CN"/>
              </w:rPr>
              <w:t>应急保障方案</w:t>
            </w:r>
            <w:r>
              <w:rPr>
                <w:rFonts w:hint="eastAsia" w:cs="Times New Roman"/>
                <w:bCs/>
                <w:sz w:val="24"/>
                <w:szCs w:val="24"/>
                <w:lang w:eastAsia="zh-CN"/>
              </w:rPr>
              <w:t>不完善，得</w:t>
            </w:r>
            <w:r>
              <w:rPr>
                <w:rFonts w:cs="Times New Roman"/>
                <w:bCs/>
                <w:sz w:val="24"/>
                <w:szCs w:val="24"/>
                <w:lang w:eastAsia="zh-CN"/>
              </w:rPr>
              <w:t>4-</w:t>
            </w:r>
            <w:r>
              <w:rPr>
                <w:rFonts w:hint="eastAsia" w:cs="Times New Roman"/>
                <w:bCs/>
                <w:sz w:val="24"/>
                <w:szCs w:val="24"/>
                <w:lang w:val="en-US" w:eastAsia="zh-CN"/>
              </w:rPr>
              <w:t>8</w:t>
            </w:r>
            <w:r>
              <w:rPr>
                <w:rFonts w:hint="eastAsia" w:cs="Times New Roman"/>
                <w:bCs/>
                <w:sz w:val="24"/>
                <w:szCs w:val="24"/>
                <w:lang w:eastAsia="zh-CN"/>
              </w:rPr>
              <w:t>分；</w:t>
            </w:r>
          </w:p>
          <w:p>
            <w:pPr>
              <w:widowControl/>
              <w:adjustRightInd w:val="0"/>
              <w:snapToGrid w:val="0"/>
              <w:spacing w:line="360" w:lineRule="auto"/>
              <w:rPr>
                <w:rFonts w:cs="Times New Roman"/>
                <w:sz w:val="24"/>
                <w:szCs w:val="24"/>
                <w:lang w:eastAsia="zh-CN"/>
              </w:rPr>
            </w:pPr>
            <w:r>
              <w:rPr>
                <w:rFonts w:hint="eastAsia" w:cs="Times New Roman"/>
                <w:bCs/>
                <w:sz w:val="24"/>
                <w:szCs w:val="24"/>
                <w:lang w:eastAsia="zh-CN"/>
              </w:rPr>
              <w:t>3.内容不全、人员配备、</w:t>
            </w:r>
            <w:r>
              <w:rPr>
                <w:rFonts w:hint="eastAsia" w:cs="Times New Roman"/>
                <w:sz w:val="24"/>
                <w:szCs w:val="24"/>
                <w:lang w:eastAsia="zh-CN"/>
              </w:rPr>
              <w:t>应急保障方案不合理</w:t>
            </w:r>
            <w:r>
              <w:rPr>
                <w:rFonts w:hint="eastAsia" w:cs="Times New Roman"/>
                <w:bCs/>
                <w:sz w:val="24"/>
                <w:szCs w:val="24"/>
                <w:lang w:eastAsia="zh-CN"/>
              </w:rPr>
              <w:t>或无措施，得</w:t>
            </w:r>
            <w:r>
              <w:rPr>
                <w:rFonts w:cs="Times New Roman"/>
                <w:bCs/>
                <w:sz w:val="24"/>
                <w:szCs w:val="24"/>
                <w:lang w:eastAsia="zh-CN"/>
              </w:rPr>
              <w:t>0-3</w:t>
            </w:r>
            <w:r>
              <w:rPr>
                <w:rFonts w:hint="eastAsia" w:cs="Times New Roman"/>
                <w:bCs/>
                <w:sz w:val="24"/>
                <w:szCs w:val="24"/>
                <w:lang w:eastAsia="zh-CN"/>
              </w:rPr>
              <w:t>分</w:t>
            </w:r>
            <w:r>
              <w:rPr>
                <w:rFonts w:hint="eastAsia" w:cs="Times New Roman"/>
                <w:sz w:val="24"/>
                <w:szCs w:val="24"/>
                <w:lang w:eastAsia="zh-CN"/>
              </w:rPr>
              <w:t>。</w:t>
            </w:r>
          </w:p>
        </w:tc>
        <w:tc>
          <w:tcPr>
            <w:tcW w:w="1225" w:type="dxa"/>
            <w:noWrap w:val="0"/>
            <w:vAlign w:val="center"/>
          </w:tcPr>
          <w:p>
            <w:pPr>
              <w:adjustRightInd w:val="0"/>
              <w:snapToGrid w:val="0"/>
              <w:spacing w:line="360" w:lineRule="auto"/>
              <w:jc w:val="center"/>
              <w:rPr>
                <w:rFonts w:hint="default" w:cs="Times New Roman"/>
                <w:sz w:val="24"/>
                <w:szCs w:val="24"/>
                <w:lang w:val="en-US" w:eastAsia="zh-CN"/>
              </w:rPr>
            </w:pPr>
            <w:r>
              <w:rPr>
                <w:rFonts w:cs="Times New Roman"/>
                <w:sz w:val="24"/>
                <w:szCs w:val="24"/>
                <w:lang w:eastAsia="zh-CN"/>
              </w:rPr>
              <w:t>1</w:t>
            </w:r>
            <w:r>
              <w:rPr>
                <w:rFonts w:hint="eastAsia" w:cs="Times New Roman"/>
                <w:sz w:val="24"/>
                <w:szCs w:val="24"/>
                <w:lang w:val="en-US" w:eastAsia="zh-CN"/>
              </w:rPr>
              <w:t>5</w:t>
            </w:r>
          </w:p>
        </w:tc>
      </w:tr>
    </w:tbl>
    <w:p>
      <w:pPr>
        <w:pStyle w:val="15"/>
        <w:ind w:left="2200"/>
        <w:rPr>
          <w:rFonts w:hint="eastAsia"/>
          <w:lang w:eastAsia="zh-CN"/>
        </w:rPr>
      </w:pPr>
    </w:p>
    <w:p>
      <w:pPr>
        <w:pStyle w:val="2"/>
        <w:rPr>
          <w:rFonts w:hint="eastAsia" w:ascii="仿宋_GB2312" w:hAnsi="仿宋" w:eastAsia="仿宋_GB2312" w:cs="Times New Roman"/>
          <w:sz w:val="32"/>
          <w:szCs w:val="32"/>
          <w:u w:val="single"/>
        </w:rPr>
      </w:pPr>
    </w:p>
    <w:p>
      <w:pPr>
        <w:keepNext w:val="0"/>
        <w:keepLines w:val="0"/>
        <w:pageBreakBefore w:val="0"/>
        <w:numPr>
          <w:ilvl w:val="0"/>
          <w:numId w:val="2"/>
        </w:numPr>
        <w:kinsoku/>
        <w:wordWrap/>
        <w:autoSpaceDE/>
        <w:autoSpaceDN/>
        <w:bidi w:val="0"/>
        <w:spacing w:line="360" w:lineRule="auto"/>
        <w:ind w:firstLine="640" w:firstLineChars="200"/>
        <w:textAlignment w:val="auto"/>
        <w:rPr>
          <w:rFonts w:hint="eastAsia" w:ascii="黑体" w:hAnsi="黑体" w:eastAsia="黑体" w:cs="Times New Roman"/>
          <w:sz w:val="32"/>
          <w:szCs w:val="32"/>
        </w:rPr>
      </w:pPr>
      <w:r>
        <w:rPr>
          <w:rFonts w:hint="eastAsia" w:ascii="黑体" w:hAnsi="黑体" w:eastAsia="黑体" w:cs="Times New Roman"/>
          <w:sz w:val="32"/>
          <w:szCs w:val="32"/>
        </w:rPr>
        <w:t>合同模板</w:t>
      </w:r>
    </w:p>
    <w:p>
      <w:pPr>
        <w:rPr>
          <w:rFonts w:hint="eastAsia" w:ascii="宋体" w:cs="Lucida Sans"/>
          <w:b/>
          <w:bCs/>
          <w:color w:val="000000"/>
          <w:sz w:val="36"/>
          <w:szCs w:val="36"/>
        </w:rPr>
      </w:pPr>
    </w:p>
    <w:p>
      <w:pPr>
        <w:pStyle w:val="2"/>
        <w:ind w:left="0" w:leftChars="0" w:firstLine="0" w:firstLineChars="0"/>
        <w:jc w:val="center"/>
        <w:rPr>
          <w:rFonts w:hint="eastAsia" w:ascii="方正小标宋简体" w:hAnsi="方正小标宋简体" w:eastAsia="方正小标宋简体" w:cs="方正小标宋简体"/>
          <w:b w:val="0"/>
          <w:bCs/>
          <w:sz w:val="44"/>
          <w:szCs w:val="44"/>
        </w:rPr>
      </w:pPr>
      <w:r>
        <w:rPr>
          <w:rFonts w:hint="eastAsia" w:ascii="宋体" w:cs="Lucida Sans"/>
          <w:b/>
          <w:bCs/>
          <w:color w:val="000000"/>
          <w:sz w:val="36"/>
          <w:szCs w:val="36"/>
          <w:lang w:val="en-US" w:eastAsia="zh-CN"/>
        </w:rPr>
        <w:t xml:space="preserve">       </w:t>
      </w:r>
      <w:r>
        <w:rPr>
          <w:rFonts w:hint="eastAsia" w:ascii="方正小标宋简体" w:hAnsi="方正小标宋简体" w:eastAsia="方正小标宋简体" w:cs="方正小标宋简体"/>
          <w:b w:val="0"/>
          <w:bCs/>
          <w:sz w:val="44"/>
          <w:szCs w:val="44"/>
          <w:lang w:eastAsia="zh-CN"/>
        </w:rPr>
        <w:t>浙商银行兰州分行</w:t>
      </w:r>
      <w:r>
        <w:rPr>
          <w:rFonts w:hint="eastAsia" w:ascii="方正小标宋简体" w:hAnsi="方正小标宋简体" w:eastAsia="方正小标宋简体" w:cs="方正小标宋简体"/>
          <w:b w:val="0"/>
          <w:bCs/>
          <w:sz w:val="44"/>
          <w:szCs w:val="44"/>
        </w:rPr>
        <w:t>弱电设施设备</w:t>
      </w:r>
    </w:p>
    <w:p>
      <w:pPr>
        <w:pStyle w:val="2"/>
        <w:ind w:left="0" w:leftChars="0" w:firstLine="0" w:firstLineChars="0"/>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维护保养</w:t>
      </w:r>
      <w:r>
        <w:rPr>
          <w:rFonts w:hint="eastAsia" w:ascii="方正小标宋简体" w:hAnsi="方正小标宋简体" w:eastAsia="方正小标宋简体" w:cs="方正小标宋简体"/>
          <w:b w:val="0"/>
          <w:bCs/>
          <w:sz w:val="44"/>
          <w:szCs w:val="44"/>
        </w:rPr>
        <w:t>合同</w:t>
      </w:r>
    </w:p>
    <w:p>
      <w:pPr>
        <w:pStyle w:val="2"/>
        <w:ind w:left="0" w:leftChars="0" w:firstLine="0" w:firstLineChars="0"/>
        <w:jc w:val="center"/>
        <w:rPr>
          <w:rFonts w:hint="eastAsia" w:ascii="方正小标宋简体" w:hAnsi="方正小标宋简体" w:eastAsia="方正小标宋简体" w:cs="方正小标宋简体"/>
          <w:b w:val="0"/>
          <w:bCs/>
          <w:sz w:val="44"/>
          <w:szCs w:val="44"/>
        </w:rPr>
      </w:pPr>
    </w:p>
    <w:p>
      <w:pPr>
        <w:pStyle w:val="22"/>
        <w:shd w:val="clear" w:color="auto" w:fill="FCFCFC"/>
        <w:spacing w:before="0" w:beforeAutospacing="0" w:after="0" w:afterAutospacing="0" w:line="480" w:lineRule="auto"/>
        <w:rPr>
          <w:rFonts w:hint="default" w:ascii="仿宋_GB2312" w:hAnsi="仿宋_GB2312" w:eastAsia="仿宋_GB2312" w:cs="仿宋_GB2312"/>
          <w:color w:val="000000"/>
          <w:sz w:val="30"/>
          <w:szCs w:val="30"/>
          <w:u w:val="single"/>
          <w:lang w:val="en-US" w:eastAsia="zh-CN"/>
        </w:rPr>
      </w:pPr>
      <w:r>
        <w:rPr>
          <w:rFonts w:hint="eastAsia" w:ascii="仿宋_GB2312" w:hAnsi="仿宋_GB2312" w:eastAsia="仿宋_GB2312" w:cs="仿宋_GB2312"/>
          <w:color w:val="000000"/>
          <w:sz w:val="30"/>
          <w:szCs w:val="30"/>
        </w:rPr>
        <w:t>甲     方：</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u w:val="single"/>
          <w:lang w:val="en-US" w:eastAsia="zh-CN"/>
        </w:rPr>
        <w:t xml:space="preserve">                            </w:t>
      </w:r>
    </w:p>
    <w:p>
      <w:pPr>
        <w:autoSpaceDE w:val="0"/>
        <w:autoSpaceDN w:val="0"/>
        <w:adjustRightInd w:val="0"/>
        <w:snapToGrid w:val="0"/>
        <w:spacing w:line="480" w:lineRule="auto"/>
        <w:ind w:right="360"/>
        <w:jc w:val="left"/>
        <w:rPr>
          <w:rFonts w:hint="default" w:ascii="仿宋_GB2312" w:hAnsi="仿宋_GB2312" w:eastAsia="仿宋_GB2312" w:cs="仿宋_GB2312"/>
          <w:color w:val="000000"/>
          <w:kern w:val="0"/>
          <w:sz w:val="30"/>
          <w:szCs w:val="30"/>
          <w:u w:val="single"/>
          <w:lang w:val="en-US"/>
        </w:rPr>
      </w:pPr>
      <w:r>
        <w:rPr>
          <w:rFonts w:hint="eastAsia" w:ascii="仿宋_GB2312" w:hAnsi="仿宋_GB2312" w:eastAsia="仿宋_GB2312" w:cs="仿宋_GB2312"/>
          <w:color w:val="000000"/>
          <w:kern w:val="0"/>
          <w:sz w:val="30"/>
          <w:szCs w:val="30"/>
        </w:rPr>
        <w:t>乙     方：</w:t>
      </w:r>
      <w:r>
        <w:rPr>
          <w:rFonts w:hint="eastAsia" w:ascii="仿宋_GB2312" w:hAnsi="仿宋_GB2312" w:eastAsia="仿宋_GB2312" w:cs="仿宋_GB2312"/>
          <w:b/>
          <w:bCs/>
          <w:sz w:val="30"/>
          <w:szCs w:val="30"/>
          <w:u w:val="single" w:color="auto"/>
        </w:rPr>
        <w:t xml:space="preserve"> </w:t>
      </w:r>
      <w:r>
        <w:rPr>
          <w:rFonts w:hint="eastAsia" w:ascii="仿宋_GB2312" w:hAnsi="仿宋_GB2312" w:eastAsia="仿宋_GB2312" w:cs="仿宋_GB2312"/>
          <w:b/>
          <w:bCs/>
          <w:sz w:val="30"/>
          <w:szCs w:val="30"/>
          <w:u w:val="single" w:color="auto"/>
          <w:lang w:val="en-US" w:eastAsia="zh-CN"/>
        </w:rPr>
        <w:t xml:space="preserve">   </w:t>
      </w:r>
      <w:r>
        <w:rPr>
          <w:rFonts w:hint="eastAsia" w:ascii="仿宋_GB2312" w:hAnsi="仿宋_GB2312" w:eastAsia="仿宋_GB2312" w:cs="仿宋_GB2312"/>
          <w:color w:val="000000"/>
          <w:kern w:val="0"/>
          <w:sz w:val="30"/>
          <w:szCs w:val="30"/>
          <w:u w:val="single"/>
          <w:lang w:val="en-US" w:eastAsia="zh-CN"/>
        </w:rPr>
        <w:t xml:space="preserve">                           </w:t>
      </w:r>
    </w:p>
    <w:p>
      <w:pPr>
        <w:pStyle w:val="5"/>
        <w:spacing w:line="48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根据《中华人民共和国</w:t>
      </w:r>
      <w:r>
        <w:rPr>
          <w:rFonts w:hint="eastAsia" w:ascii="仿宋_GB2312" w:hAnsi="仿宋_GB2312" w:eastAsia="仿宋_GB2312" w:cs="仿宋_GB2312"/>
          <w:sz w:val="30"/>
          <w:szCs w:val="30"/>
          <w:lang w:eastAsia="zh-CN"/>
        </w:rPr>
        <w:t>民法典</w:t>
      </w:r>
      <w:r>
        <w:rPr>
          <w:rFonts w:hint="eastAsia" w:ascii="仿宋_GB2312" w:hAnsi="仿宋_GB2312" w:eastAsia="仿宋_GB2312" w:cs="仿宋_GB2312"/>
          <w:sz w:val="30"/>
          <w:szCs w:val="30"/>
        </w:rPr>
        <w:t>》及相关法律法规，遵循平等、自愿、公平和诚信的原则，甲、乙双方就浙商银行兰州分行本级及</w:t>
      </w:r>
      <w:r>
        <w:rPr>
          <w:rFonts w:hint="eastAsia" w:ascii="仿宋_GB2312" w:hAnsi="仿宋_GB2312" w:eastAsia="仿宋_GB2312" w:cs="仿宋_GB2312"/>
          <w:sz w:val="30"/>
          <w:szCs w:val="30"/>
          <w:lang w:eastAsia="zh-CN"/>
        </w:rPr>
        <w:t>兰内</w:t>
      </w:r>
      <w:r>
        <w:rPr>
          <w:rFonts w:hint="eastAsia" w:ascii="仿宋_GB2312" w:hAnsi="仿宋_GB2312" w:eastAsia="仿宋_GB2312" w:cs="仿宋_GB2312"/>
          <w:sz w:val="30"/>
          <w:szCs w:val="30"/>
          <w:u w:val="none"/>
          <w:lang w:eastAsia="zh-CN"/>
        </w:rPr>
        <w:t>各支行</w:t>
      </w:r>
      <w:r>
        <w:rPr>
          <w:rFonts w:hint="eastAsia" w:ascii="仿宋_GB2312" w:hAnsi="仿宋_GB2312" w:eastAsia="仿宋_GB2312" w:cs="仿宋_GB2312"/>
          <w:sz w:val="30"/>
          <w:szCs w:val="30"/>
          <w:u w:val="none"/>
        </w:rPr>
        <w:t>弱电系统</w:t>
      </w:r>
      <w:r>
        <w:rPr>
          <w:rFonts w:hint="eastAsia" w:ascii="仿宋_GB2312" w:hAnsi="仿宋_GB2312" w:eastAsia="仿宋_GB2312" w:cs="仿宋_GB2312"/>
          <w:sz w:val="30"/>
          <w:szCs w:val="30"/>
          <w:u w:val="none"/>
          <w:lang w:eastAsia="zh-CN"/>
        </w:rPr>
        <w:t>及设施设备</w:t>
      </w:r>
      <w:r>
        <w:rPr>
          <w:rFonts w:hint="eastAsia" w:ascii="仿宋_GB2312" w:hAnsi="仿宋_GB2312" w:eastAsia="仿宋_GB2312" w:cs="仿宋_GB2312"/>
          <w:sz w:val="30"/>
          <w:szCs w:val="30"/>
          <w:u w:val="none"/>
        </w:rPr>
        <w:t>维护保养服务，</w:t>
      </w:r>
      <w:r>
        <w:rPr>
          <w:rFonts w:hint="eastAsia" w:ascii="仿宋_GB2312" w:hAnsi="仿宋_GB2312" w:eastAsia="仿宋_GB2312" w:cs="仿宋_GB2312"/>
          <w:sz w:val="30"/>
          <w:szCs w:val="30"/>
        </w:rPr>
        <w:t>协商一致，订立本合同。</w:t>
      </w:r>
    </w:p>
    <w:p>
      <w:pPr>
        <w:pStyle w:val="5"/>
        <w:spacing w:line="480" w:lineRule="auto"/>
        <w:ind w:firstLine="600" w:firstLineChars="200"/>
        <w:rPr>
          <w:rFonts w:hint="eastAsia" w:ascii="黑体" w:hAnsi="黑体" w:eastAsia="黑体" w:cs="黑体"/>
          <w:b w:val="0"/>
          <w:bCs w:val="0"/>
          <w:sz w:val="30"/>
          <w:szCs w:val="30"/>
        </w:rPr>
      </w:pPr>
      <w:r>
        <w:rPr>
          <w:rFonts w:hint="eastAsia" w:ascii="黑体" w:hAnsi="黑体" w:eastAsia="黑体" w:cs="黑体"/>
          <w:b w:val="0"/>
          <w:bCs w:val="0"/>
          <w:sz w:val="30"/>
          <w:szCs w:val="30"/>
          <w:lang w:eastAsia="zh-CN"/>
        </w:rPr>
        <w:t>第一条</w:t>
      </w:r>
      <w:r>
        <w:rPr>
          <w:rFonts w:hint="eastAsia" w:ascii="黑体" w:hAnsi="黑体" w:eastAsia="黑体" w:cs="黑体"/>
          <w:b w:val="0"/>
          <w:bCs w:val="0"/>
          <w:sz w:val="30"/>
          <w:szCs w:val="30"/>
          <w:lang w:val="en-US" w:eastAsia="zh-CN"/>
        </w:rPr>
        <w:t xml:space="preserve">  </w:t>
      </w:r>
      <w:r>
        <w:rPr>
          <w:rFonts w:hint="eastAsia" w:ascii="黑体" w:hAnsi="黑体" w:eastAsia="黑体" w:cs="黑体"/>
          <w:b w:val="0"/>
          <w:bCs w:val="0"/>
          <w:sz w:val="30"/>
          <w:szCs w:val="30"/>
        </w:rPr>
        <w:t>项目概况</w:t>
      </w:r>
    </w:p>
    <w:p>
      <w:pPr>
        <w:pStyle w:val="5"/>
        <w:spacing w:line="480" w:lineRule="auto"/>
        <w:ind w:firstLine="450" w:firstLineChars="15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项目内容：</w:t>
      </w:r>
      <w:r>
        <w:rPr>
          <w:rFonts w:hint="eastAsia" w:ascii="仿宋_GB2312" w:hAnsi="仿宋_GB2312" w:eastAsia="仿宋_GB2312" w:cs="仿宋_GB2312"/>
          <w:sz w:val="30"/>
          <w:szCs w:val="30"/>
          <w:u w:val="single"/>
        </w:rPr>
        <w:t>浙商银行兰州分行本级及</w:t>
      </w:r>
      <w:r>
        <w:rPr>
          <w:rFonts w:hint="eastAsia" w:ascii="仿宋_GB2312" w:hAnsi="仿宋_GB2312" w:eastAsia="仿宋_GB2312" w:cs="仿宋_GB2312"/>
          <w:sz w:val="30"/>
          <w:szCs w:val="30"/>
          <w:u w:val="single"/>
          <w:lang w:eastAsia="zh-CN"/>
        </w:rPr>
        <w:t>兰内各支行</w:t>
      </w:r>
      <w:r>
        <w:rPr>
          <w:rFonts w:hint="eastAsia" w:ascii="仿宋_GB2312" w:hAnsi="仿宋_GB2312" w:eastAsia="仿宋_GB2312" w:cs="仿宋_GB2312"/>
          <w:sz w:val="30"/>
          <w:szCs w:val="30"/>
          <w:u w:val="single"/>
        </w:rPr>
        <w:t>弱电系统</w:t>
      </w:r>
      <w:r>
        <w:rPr>
          <w:rFonts w:hint="eastAsia" w:ascii="仿宋_GB2312" w:hAnsi="仿宋_GB2312" w:eastAsia="仿宋_GB2312" w:cs="仿宋_GB2312"/>
          <w:sz w:val="30"/>
          <w:szCs w:val="30"/>
          <w:u w:val="single"/>
          <w:lang w:eastAsia="zh-CN"/>
        </w:rPr>
        <w:t>及设施设备</w:t>
      </w:r>
      <w:r>
        <w:rPr>
          <w:rFonts w:hint="eastAsia" w:ascii="仿宋_GB2312" w:hAnsi="仿宋_GB2312" w:eastAsia="仿宋_GB2312" w:cs="仿宋_GB2312"/>
          <w:sz w:val="30"/>
          <w:szCs w:val="30"/>
          <w:u w:val="single"/>
        </w:rPr>
        <w:t>维护保养服务，包括兰州分行本级、</w:t>
      </w:r>
      <w:r>
        <w:rPr>
          <w:rFonts w:hint="eastAsia" w:ascii="仿宋_GB2312" w:hAnsi="仿宋_GB2312" w:eastAsia="仿宋_GB2312" w:cs="仿宋_GB2312"/>
          <w:sz w:val="30"/>
          <w:szCs w:val="30"/>
          <w:u w:val="single"/>
          <w:lang w:eastAsia="zh-CN"/>
        </w:rPr>
        <w:t>东部支行、</w:t>
      </w:r>
      <w:r>
        <w:rPr>
          <w:rFonts w:hint="eastAsia" w:ascii="仿宋_GB2312" w:hAnsi="仿宋_GB2312" w:eastAsia="仿宋_GB2312" w:cs="仿宋_GB2312"/>
          <w:sz w:val="30"/>
          <w:szCs w:val="30"/>
          <w:u w:val="single"/>
        </w:rPr>
        <w:t>七里河支行、安宁支行、新区支行、城关支行弱电系统</w:t>
      </w:r>
      <w:r>
        <w:rPr>
          <w:rFonts w:hint="eastAsia" w:ascii="仿宋_GB2312" w:hAnsi="仿宋_GB2312" w:eastAsia="仿宋_GB2312" w:cs="仿宋_GB2312"/>
          <w:sz w:val="30"/>
          <w:szCs w:val="30"/>
          <w:u w:val="single"/>
          <w:lang w:eastAsia="zh-CN"/>
        </w:rPr>
        <w:t>及设施设备</w:t>
      </w:r>
      <w:r>
        <w:rPr>
          <w:rFonts w:hint="eastAsia" w:ascii="仿宋_GB2312" w:hAnsi="仿宋_GB2312" w:eastAsia="仿宋_GB2312" w:cs="仿宋_GB2312"/>
          <w:sz w:val="30"/>
          <w:szCs w:val="30"/>
          <w:u w:val="single"/>
        </w:rPr>
        <w:t>维护保养服务。</w:t>
      </w:r>
    </w:p>
    <w:p>
      <w:pPr>
        <w:pStyle w:val="5"/>
        <w:spacing w:line="480" w:lineRule="auto"/>
        <w:ind w:firstLine="600" w:firstLineChars="200"/>
        <w:rPr>
          <w:rFonts w:hint="eastAsia" w:ascii="黑体" w:hAnsi="黑体" w:eastAsia="黑体" w:cs="黑体"/>
          <w:b w:val="0"/>
          <w:bCs/>
          <w:sz w:val="30"/>
          <w:szCs w:val="30"/>
        </w:rPr>
      </w:pPr>
      <w:r>
        <w:rPr>
          <w:rFonts w:hint="eastAsia" w:ascii="黑体" w:hAnsi="黑体" w:eastAsia="黑体" w:cs="黑体"/>
          <w:b w:val="0"/>
          <w:bCs/>
          <w:sz w:val="30"/>
          <w:szCs w:val="30"/>
        </w:rPr>
        <w:t>第二条  维护保养范围</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（一）</w:t>
      </w:r>
      <w:r>
        <w:rPr>
          <w:rFonts w:hint="eastAsia" w:ascii="仿宋_GB2312" w:hAnsi="仿宋_GB2312" w:eastAsia="仿宋_GB2312" w:cs="仿宋_GB2312"/>
          <w:sz w:val="30"/>
          <w:szCs w:val="30"/>
        </w:rPr>
        <w:t>视频监控系统</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（二）</w:t>
      </w:r>
      <w:r>
        <w:rPr>
          <w:rFonts w:hint="eastAsia" w:ascii="仿宋_GB2312" w:hAnsi="仿宋_GB2312" w:eastAsia="仿宋_GB2312" w:cs="仿宋_GB2312"/>
          <w:sz w:val="30"/>
          <w:szCs w:val="30"/>
        </w:rPr>
        <w:t>入侵报警系统</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（三）</w:t>
      </w:r>
      <w:r>
        <w:rPr>
          <w:rFonts w:hint="eastAsia" w:ascii="仿宋_GB2312" w:hAnsi="仿宋_GB2312" w:eastAsia="仿宋_GB2312" w:cs="仿宋_GB2312"/>
          <w:sz w:val="30"/>
          <w:szCs w:val="30"/>
        </w:rPr>
        <w:t>综合布线系统</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（四）</w:t>
      </w:r>
      <w:r>
        <w:rPr>
          <w:rFonts w:hint="eastAsia" w:ascii="仿宋_GB2312" w:hAnsi="仿宋_GB2312" w:eastAsia="仿宋_GB2312" w:cs="仿宋_GB2312"/>
          <w:sz w:val="30"/>
          <w:szCs w:val="30"/>
        </w:rPr>
        <w:t>自助银行语音提示、对讲系统及远程控制系统</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（五）</w:t>
      </w:r>
      <w:r>
        <w:rPr>
          <w:rFonts w:hint="eastAsia" w:ascii="仿宋_GB2312" w:hAnsi="仿宋_GB2312" w:eastAsia="仿宋_GB2312" w:cs="仿宋_GB2312"/>
          <w:sz w:val="30"/>
          <w:szCs w:val="30"/>
        </w:rPr>
        <w:t>可视对讲系统</w:t>
      </w:r>
    </w:p>
    <w:p>
      <w:pPr>
        <w:pStyle w:val="5"/>
        <w:spacing w:line="480" w:lineRule="auto"/>
        <w:ind w:firstLine="450" w:firstLineChars="15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（六）监控中心监控录像显示屏系统</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（七）</w:t>
      </w:r>
      <w:r>
        <w:rPr>
          <w:rFonts w:hint="eastAsia" w:ascii="仿宋_GB2312" w:hAnsi="仿宋_GB2312" w:eastAsia="仿宋_GB2312" w:cs="仿宋_GB2312"/>
          <w:sz w:val="30"/>
          <w:szCs w:val="30"/>
        </w:rPr>
        <w:t>门禁系统（含二道门、重控室、机房及通道门禁等）</w:t>
      </w:r>
    </w:p>
    <w:p>
      <w:pPr>
        <w:pStyle w:val="5"/>
        <w:spacing w:line="480" w:lineRule="auto"/>
        <w:ind w:firstLine="450" w:firstLineChars="150"/>
        <w:rPr>
          <w:rFonts w:hint="eastAsia" w:ascii="仿宋_GB2312" w:hAnsi="仿宋_GB2312" w:eastAsia="仿宋_GB2312" w:cs="仿宋_GB2312"/>
          <w:spacing w:val="7"/>
          <w:sz w:val="30"/>
          <w:szCs w:val="30"/>
        </w:rPr>
      </w:pPr>
      <w:r>
        <w:rPr>
          <w:rFonts w:hint="eastAsia" w:ascii="仿宋_GB2312" w:hAnsi="仿宋_GB2312" w:eastAsia="仿宋_GB2312" w:cs="仿宋_GB2312"/>
          <w:sz w:val="30"/>
          <w:szCs w:val="30"/>
          <w:lang w:eastAsia="zh-CN"/>
        </w:rPr>
        <w:t>（八）</w:t>
      </w:r>
      <w:r>
        <w:rPr>
          <w:rFonts w:hint="eastAsia" w:ascii="仿宋_GB2312" w:hAnsi="仿宋_GB2312" w:eastAsia="仿宋_GB2312" w:cs="仿宋_GB2312"/>
          <w:sz w:val="30"/>
          <w:szCs w:val="30"/>
        </w:rPr>
        <w:t>UPS</w:t>
      </w:r>
      <w:r>
        <w:rPr>
          <w:rFonts w:hint="eastAsia" w:ascii="仿宋_GB2312" w:hAnsi="仿宋_GB2312" w:eastAsia="仿宋_GB2312" w:cs="仿宋_GB2312"/>
          <w:spacing w:val="-42"/>
          <w:sz w:val="30"/>
          <w:szCs w:val="30"/>
        </w:rPr>
        <w:t xml:space="preserve"> </w:t>
      </w:r>
      <w:r>
        <w:rPr>
          <w:rFonts w:hint="eastAsia" w:ascii="仿宋_GB2312" w:hAnsi="仿宋_GB2312" w:eastAsia="仿宋_GB2312" w:cs="仿宋_GB2312"/>
          <w:spacing w:val="7"/>
          <w:sz w:val="30"/>
          <w:szCs w:val="30"/>
        </w:rPr>
        <w:t>及机房防雷系统</w:t>
      </w:r>
    </w:p>
    <w:p>
      <w:pPr>
        <w:pStyle w:val="5"/>
        <w:spacing w:line="480" w:lineRule="auto"/>
        <w:ind w:firstLine="471" w:firstLineChars="150"/>
        <w:rPr>
          <w:rFonts w:hint="eastAsia" w:eastAsia="仿宋_GB2312"/>
          <w:lang w:eastAsia="zh-CN"/>
        </w:rPr>
      </w:pPr>
      <w:r>
        <w:rPr>
          <w:rFonts w:hint="eastAsia" w:ascii="仿宋_GB2312" w:hAnsi="仿宋_GB2312" w:eastAsia="仿宋_GB2312" w:cs="仿宋_GB2312"/>
          <w:spacing w:val="7"/>
          <w:sz w:val="30"/>
          <w:szCs w:val="30"/>
          <w:lang w:eastAsia="zh-CN"/>
        </w:rPr>
        <w:t>（九）</w:t>
      </w:r>
      <w:r>
        <w:rPr>
          <w:rFonts w:hint="eastAsia" w:ascii="仿宋_GB2312" w:hAnsi="仿宋_GB2312" w:eastAsia="仿宋_GB2312" w:cs="仿宋_GB2312"/>
          <w:sz w:val="30"/>
          <w:szCs w:val="30"/>
          <w:lang w:eastAsia="zh-CN"/>
        </w:rPr>
        <w:t>其他弱电设施设备维护保养</w:t>
      </w:r>
    </w:p>
    <w:p>
      <w:pPr>
        <w:pStyle w:val="5"/>
        <w:spacing w:line="480" w:lineRule="auto"/>
        <w:ind w:firstLine="600" w:firstLineChars="200"/>
        <w:rPr>
          <w:rFonts w:hint="eastAsia" w:ascii="黑体" w:hAnsi="黑体" w:eastAsia="黑体" w:cs="黑体"/>
          <w:b w:val="0"/>
          <w:bCs/>
          <w:sz w:val="30"/>
          <w:szCs w:val="30"/>
        </w:rPr>
      </w:pPr>
      <w:r>
        <w:rPr>
          <w:rFonts w:hint="eastAsia" w:ascii="黑体" w:hAnsi="黑体" w:eastAsia="黑体" w:cs="黑体"/>
          <w:b w:val="0"/>
          <w:bCs/>
          <w:sz w:val="30"/>
          <w:szCs w:val="30"/>
        </w:rPr>
        <w:t>第三条 维护保养内容和要求</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（一）定期检测和检查</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1.每月一次进行入侵报警探测器防范效果测试</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2.每月一次配合进行110报警按钮（含二级报警）联网测试</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3.每月一次对灯光联动进行测试</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4.每月一次对自助银行语音提示、远程控制及欢</w:t>
      </w:r>
      <w:r>
        <w:rPr>
          <w:rFonts w:hint="eastAsia" w:ascii="仿宋_GB2312" w:hAnsi="仿宋_GB2312" w:eastAsia="仿宋_GB2312" w:cs="仿宋_GB2312"/>
          <w:sz w:val="30"/>
          <w:szCs w:val="30"/>
          <w:lang w:eastAsia="zh-CN"/>
        </w:rPr>
        <w:t>显示屏</w:t>
      </w:r>
      <w:r>
        <w:rPr>
          <w:rFonts w:hint="eastAsia" w:ascii="仿宋_GB2312" w:hAnsi="仿宋_GB2312" w:eastAsia="仿宋_GB2312" w:cs="仿宋_GB2312"/>
          <w:sz w:val="30"/>
          <w:szCs w:val="30"/>
        </w:rPr>
        <w:t>系统进行检查</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5.每月一次对自助银行对讲系统进行检查</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6.每月一次对可视对讲系统进行检查</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7.每月一次对门禁系统进行检查</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（二）定期维护保养</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1.每月一次对室外摄像机的镜头、防护罩等进行清洁，对接线进行检查。</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2.每季度一次对室内摄像机的镜头、防护罩等进行清洁，对接线进行检查。</w:t>
      </w:r>
    </w:p>
    <w:p>
      <w:pPr>
        <w:pStyle w:val="5"/>
        <w:spacing w:line="480" w:lineRule="auto"/>
        <w:ind w:firstLine="450" w:firstLineChars="15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3.每月一次检查硬盘录像机的运行时间（与北京时间误差在</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分钟以内），图像存储时间是否满足要求，临柜（营业人员受理客户申请、办理现金、重要单证业务的区域）和通勤门、自助银行（ATM机照脸部及出钞口、ATM现金装填区、等候区）、计算机房重要凭证室、放款部门、事后监督部门、监控室、运钞车交接处录像资料保存时间必须不少于90天</w:t>
      </w:r>
      <w:r>
        <w:rPr>
          <w:rFonts w:hint="eastAsia" w:ascii="仿宋_GB2312" w:hAnsi="仿宋_GB2312" w:eastAsia="仿宋_GB2312" w:cs="仿宋_GB2312"/>
          <w:sz w:val="30"/>
          <w:szCs w:val="30"/>
          <w:lang w:eastAsia="zh-CN"/>
        </w:rPr>
        <w:t>。</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.理财区、信用卡受理专区和档案室等特殊区域录像资料保存时间不少于180天。</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其他部位录像资料不少于30天。并随机抽取3个时间段录像进行回放，检查图像是否清晰可辨。</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.每季度一次对硬盘录像机、主机硬盘、报警主机、矩阵主机断电下柜内灰尘清除。</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.严格按照年度保养日程计划表进行保养巡检。</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（三）根据产品升级换代及我行实际情况，对软件进行升级和优化（含硬盘录像机嵌入式软件、客户端软件、监控报警集中管理软件、门禁系统软件、电脑相关应用软件等）。</w:t>
      </w:r>
    </w:p>
    <w:p>
      <w:pPr>
        <w:pStyle w:val="5"/>
        <w:spacing w:line="480" w:lineRule="auto"/>
        <w:ind w:firstLine="450" w:firstLineChars="150"/>
        <w:rPr>
          <w:rFonts w:hint="eastAsia" w:ascii="仿宋_GB2312" w:hAnsi="仿宋_GB2312" w:eastAsia="仿宋_GB2312" w:cs="仿宋_GB2312"/>
          <w:snapToGrid w:val="0"/>
          <w:color w:val="000000"/>
          <w:spacing w:val="8"/>
          <w:kern w:val="0"/>
          <w:sz w:val="30"/>
          <w:szCs w:val="30"/>
          <w:lang w:val="en-US" w:eastAsia="zh-CN" w:bidi="ar-SA"/>
        </w:rPr>
      </w:pPr>
      <w:r>
        <w:rPr>
          <w:rFonts w:hint="eastAsia" w:ascii="仿宋_GB2312" w:hAnsi="仿宋_GB2312" w:eastAsia="仿宋_GB2312" w:cs="仿宋_GB2312"/>
          <w:sz w:val="30"/>
          <w:szCs w:val="30"/>
        </w:rPr>
        <w:t>（四）故障维修</w:t>
      </w:r>
      <w:r>
        <w:rPr>
          <w:rFonts w:hint="eastAsia" w:ascii="仿宋_GB2312" w:hAnsi="仿宋_GB2312" w:eastAsia="仿宋_GB2312" w:cs="仿宋_GB2312"/>
          <w:snapToGrid w:val="0"/>
          <w:color w:val="000000"/>
          <w:spacing w:val="8"/>
          <w:kern w:val="0"/>
          <w:sz w:val="30"/>
          <w:szCs w:val="30"/>
          <w:lang w:val="en-US" w:eastAsia="zh-CN" w:bidi="ar-SA"/>
        </w:rPr>
        <w:t xml:space="preserve"> </w:t>
      </w:r>
    </w:p>
    <w:p>
      <w:pPr>
        <w:pStyle w:val="5"/>
        <w:spacing w:line="480" w:lineRule="auto"/>
        <w:ind w:firstLine="474" w:firstLineChars="150"/>
        <w:rPr>
          <w:rFonts w:hint="eastAsia" w:ascii="仿宋_GB2312" w:hAnsi="仿宋_GB2312" w:eastAsia="仿宋_GB2312" w:cs="仿宋_GB2312"/>
          <w:snapToGrid w:val="0"/>
          <w:color w:val="000000"/>
          <w:spacing w:val="8"/>
          <w:kern w:val="0"/>
          <w:sz w:val="30"/>
          <w:szCs w:val="30"/>
          <w:lang w:val="en-US" w:eastAsia="zh-CN" w:bidi="ar-SA"/>
        </w:rPr>
      </w:pPr>
      <w:r>
        <w:rPr>
          <w:rFonts w:hint="eastAsia" w:ascii="仿宋_GB2312" w:hAnsi="仿宋_GB2312" w:eastAsia="仿宋_GB2312" w:cs="仿宋_GB2312"/>
          <w:snapToGrid w:val="0"/>
          <w:color w:val="000000"/>
          <w:spacing w:val="8"/>
          <w:kern w:val="0"/>
          <w:sz w:val="30"/>
          <w:szCs w:val="30"/>
          <w:lang w:val="en-US" w:eastAsia="zh-CN" w:bidi="ar-SA"/>
        </w:rPr>
        <w:t>自接到故障报修通知，兰州市内各单位2小时内到达现场提供故障排除及维修；兰州新区支行3小时内到达现场提供故障排除及维修。</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（五）免费提供胶</w:t>
      </w:r>
      <w:r>
        <w:rPr>
          <w:rFonts w:hint="eastAsia" w:ascii="仿宋_GB2312" w:hAnsi="仿宋_GB2312" w:eastAsia="仿宋_GB2312" w:cs="仿宋_GB2312"/>
          <w:sz w:val="30"/>
          <w:szCs w:val="30"/>
          <w:lang w:eastAsia="zh-CN"/>
        </w:rPr>
        <w:t>带</w:t>
      </w:r>
      <w:r>
        <w:rPr>
          <w:rFonts w:hint="eastAsia" w:ascii="仿宋_GB2312" w:hAnsi="仿宋_GB2312" w:eastAsia="仿宋_GB2312" w:cs="仿宋_GB2312"/>
          <w:sz w:val="30"/>
          <w:szCs w:val="30"/>
        </w:rPr>
        <w:t>、螺丝、标签纸、扎带、焊锡丝、水晶头等辅料。</w:t>
      </w:r>
    </w:p>
    <w:p>
      <w:pPr>
        <w:pStyle w:val="5"/>
        <w:spacing w:line="480" w:lineRule="auto"/>
        <w:ind w:firstLine="600" w:firstLineChars="200"/>
        <w:rPr>
          <w:rFonts w:hint="eastAsia" w:ascii="黑体" w:hAnsi="黑体" w:eastAsia="黑体" w:cs="黑体"/>
          <w:b w:val="0"/>
          <w:bCs/>
          <w:sz w:val="30"/>
          <w:szCs w:val="30"/>
        </w:rPr>
      </w:pPr>
      <w:r>
        <w:rPr>
          <w:rFonts w:hint="eastAsia" w:ascii="黑体" w:hAnsi="黑体" w:eastAsia="黑体" w:cs="黑体"/>
          <w:b w:val="0"/>
          <w:bCs/>
          <w:sz w:val="30"/>
          <w:szCs w:val="30"/>
        </w:rPr>
        <w:t>第四条</w:t>
      </w:r>
      <w:r>
        <w:rPr>
          <w:rFonts w:hint="eastAsia" w:ascii="黑体" w:hAnsi="黑体" w:eastAsia="黑体" w:cs="黑体"/>
          <w:b w:val="0"/>
          <w:bCs/>
          <w:sz w:val="30"/>
          <w:szCs w:val="30"/>
          <w:lang w:val="en-US" w:eastAsia="zh-CN"/>
        </w:rPr>
        <w:t xml:space="preserve">  </w:t>
      </w:r>
      <w:r>
        <w:rPr>
          <w:rFonts w:hint="eastAsia" w:ascii="黑体" w:hAnsi="黑体" w:eastAsia="黑体" w:cs="黑体"/>
          <w:b w:val="0"/>
          <w:bCs/>
          <w:sz w:val="30"/>
          <w:szCs w:val="30"/>
        </w:rPr>
        <w:t>维保期限</w:t>
      </w:r>
    </w:p>
    <w:p>
      <w:pPr>
        <w:pStyle w:val="5"/>
        <w:spacing w:line="480" w:lineRule="auto"/>
        <w:ind w:firstLine="640" w:firstLineChars="200"/>
        <w:rPr>
          <w:rFonts w:hint="eastAsia" w:ascii="仿宋_GB2312" w:hAnsi="仿宋_GB2312" w:eastAsia="仿宋_GB2312" w:cs="仿宋_GB2312"/>
          <w:spacing w:val="10"/>
          <w:sz w:val="30"/>
          <w:szCs w:val="30"/>
          <w:lang w:eastAsia="zh-CN"/>
        </w:rPr>
      </w:pPr>
      <w:r>
        <w:rPr>
          <w:rFonts w:hint="eastAsia" w:ascii="仿宋_GB2312" w:hAnsi="仿宋_GB2312" w:eastAsia="仿宋_GB2312" w:cs="仿宋_GB2312"/>
          <w:spacing w:val="10"/>
          <w:sz w:val="30"/>
          <w:szCs w:val="30"/>
        </w:rPr>
        <w:t>服务期限：</w:t>
      </w:r>
      <w:r>
        <w:rPr>
          <w:rFonts w:hint="eastAsia" w:ascii="仿宋_GB2312" w:hAnsi="仿宋_GB2312" w:eastAsia="仿宋_GB2312" w:cs="仿宋_GB2312"/>
          <w:spacing w:val="10"/>
          <w:sz w:val="30"/>
          <w:szCs w:val="30"/>
          <w:lang w:val="en-US" w:eastAsia="zh-CN"/>
        </w:rPr>
        <w:t xml:space="preserve"> </w:t>
      </w:r>
      <w:r>
        <w:rPr>
          <w:rFonts w:hint="eastAsia" w:ascii="仿宋_GB2312" w:hAnsi="仿宋_GB2312" w:eastAsia="仿宋_GB2312" w:cs="仿宋_GB2312"/>
          <w:spacing w:val="10"/>
          <w:sz w:val="30"/>
          <w:szCs w:val="30"/>
        </w:rPr>
        <w:t>年，自</w:t>
      </w:r>
      <w:r>
        <w:rPr>
          <w:rFonts w:hint="eastAsia" w:ascii="仿宋_GB2312" w:hAnsi="仿宋_GB2312" w:eastAsia="仿宋_GB2312" w:cs="仿宋_GB2312"/>
          <w:spacing w:val="10"/>
          <w:sz w:val="30"/>
          <w:szCs w:val="30"/>
          <w:lang w:val="en-US" w:eastAsia="zh-CN"/>
        </w:rPr>
        <w:t xml:space="preserve">   </w:t>
      </w:r>
      <w:r>
        <w:rPr>
          <w:rFonts w:hint="eastAsia" w:ascii="仿宋_GB2312" w:hAnsi="仿宋_GB2312" w:eastAsia="仿宋_GB2312" w:cs="仿宋_GB2312"/>
          <w:spacing w:val="10"/>
          <w:sz w:val="30"/>
          <w:szCs w:val="30"/>
        </w:rPr>
        <w:t>年</w:t>
      </w:r>
      <w:r>
        <w:rPr>
          <w:rFonts w:hint="eastAsia" w:ascii="仿宋_GB2312" w:hAnsi="仿宋_GB2312" w:eastAsia="仿宋_GB2312" w:cs="仿宋_GB2312"/>
          <w:spacing w:val="10"/>
          <w:sz w:val="30"/>
          <w:szCs w:val="30"/>
          <w:lang w:val="en-US" w:eastAsia="zh-CN"/>
        </w:rPr>
        <w:t xml:space="preserve">  </w:t>
      </w:r>
      <w:r>
        <w:rPr>
          <w:rFonts w:hint="eastAsia" w:ascii="仿宋_GB2312" w:hAnsi="仿宋_GB2312" w:eastAsia="仿宋_GB2312" w:cs="仿宋_GB2312"/>
          <w:spacing w:val="10"/>
          <w:sz w:val="30"/>
          <w:szCs w:val="30"/>
        </w:rPr>
        <w:t>月</w:t>
      </w:r>
      <w:r>
        <w:rPr>
          <w:rFonts w:hint="eastAsia" w:ascii="仿宋_GB2312" w:hAnsi="仿宋_GB2312" w:eastAsia="仿宋_GB2312" w:cs="仿宋_GB2312"/>
          <w:spacing w:val="10"/>
          <w:sz w:val="30"/>
          <w:szCs w:val="30"/>
          <w:lang w:val="en-US" w:eastAsia="zh-CN"/>
        </w:rPr>
        <w:t xml:space="preserve">  </w:t>
      </w:r>
      <w:r>
        <w:rPr>
          <w:rFonts w:hint="eastAsia" w:ascii="仿宋_GB2312" w:hAnsi="仿宋_GB2312" w:eastAsia="仿宋_GB2312" w:cs="仿宋_GB2312"/>
          <w:spacing w:val="10"/>
          <w:sz w:val="30"/>
          <w:szCs w:val="30"/>
        </w:rPr>
        <w:t>日至</w:t>
      </w:r>
      <w:r>
        <w:rPr>
          <w:rFonts w:hint="eastAsia" w:ascii="仿宋_GB2312" w:hAnsi="仿宋_GB2312" w:eastAsia="仿宋_GB2312" w:cs="仿宋_GB2312"/>
          <w:spacing w:val="10"/>
          <w:sz w:val="30"/>
          <w:szCs w:val="30"/>
          <w:lang w:val="en-US" w:eastAsia="zh-CN"/>
        </w:rPr>
        <w:t xml:space="preserve">  </w:t>
      </w:r>
      <w:r>
        <w:rPr>
          <w:rFonts w:hint="eastAsia" w:ascii="仿宋_GB2312" w:hAnsi="仿宋_GB2312" w:eastAsia="仿宋_GB2312" w:cs="仿宋_GB2312"/>
          <w:spacing w:val="10"/>
          <w:sz w:val="30"/>
          <w:szCs w:val="30"/>
        </w:rPr>
        <w:t>年</w:t>
      </w:r>
      <w:r>
        <w:rPr>
          <w:rFonts w:hint="eastAsia" w:ascii="仿宋_GB2312" w:hAnsi="仿宋_GB2312" w:eastAsia="仿宋_GB2312" w:cs="仿宋_GB2312"/>
          <w:spacing w:val="10"/>
          <w:sz w:val="30"/>
          <w:szCs w:val="30"/>
          <w:lang w:val="en-US" w:eastAsia="zh-CN"/>
        </w:rPr>
        <w:t xml:space="preserve">  </w:t>
      </w:r>
      <w:r>
        <w:rPr>
          <w:rFonts w:hint="eastAsia" w:ascii="仿宋_GB2312" w:hAnsi="仿宋_GB2312" w:eastAsia="仿宋_GB2312" w:cs="仿宋_GB2312"/>
          <w:spacing w:val="10"/>
          <w:sz w:val="30"/>
          <w:szCs w:val="30"/>
        </w:rPr>
        <w:t>月</w:t>
      </w:r>
      <w:r>
        <w:rPr>
          <w:rFonts w:hint="eastAsia" w:ascii="仿宋_GB2312" w:hAnsi="仿宋_GB2312" w:eastAsia="仿宋_GB2312" w:cs="仿宋_GB2312"/>
          <w:spacing w:val="10"/>
          <w:sz w:val="30"/>
          <w:szCs w:val="30"/>
          <w:lang w:val="en-US" w:eastAsia="zh-CN"/>
        </w:rPr>
        <w:t xml:space="preserve">  </w:t>
      </w:r>
      <w:r>
        <w:rPr>
          <w:rFonts w:hint="eastAsia" w:ascii="仿宋_GB2312" w:hAnsi="仿宋_GB2312" w:eastAsia="仿宋_GB2312" w:cs="仿宋_GB2312"/>
          <w:spacing w:val="10"/>
          <w:sz w:val="30"/>
          <w:szCs w:val="30"/>
        </w:rPr>
        <w:t>日。</w:t>
      </w:r>
    </w:p>
    <w:p>
      <w:pPr>
        <w:pStyle w:val="5"/>
        <w:spacing w:line="480" w:lineRule="auto"/>
        <w:ind w:firstLine="600" w:firstLineChars="200"/>
        <w:rPr>
          <w:rFonts w:hint="eastAsia" w:ascii="黑体" w:hAnsi="黑体" w:eastAsia="黑体" w:cs="黑体"/>
          <w:b w:val="0"/>
          <w:bCs/>
          <w:sz w:val="30"/>
          <w:szCs w:val="30"/>
        </w:rPr>
      </w:pPr>
      <w:r>
        <w:rPr>
          <w:rFonts w:hint="eastAsia" w:ascii="黑体" w:hAnsi="黑体" w:eastAsia="黑体" w:cs="黑体"/>
          <w:b w:val="0"/>
          <w:bCs/>
          <w:sz w:val="30"/>
          <w:szCs w:val="30"/>
        </w:rPr>
        <w:t>第五条  双方责任</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（一）甲方权利和义务</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1.甲方办公室（部门）负责系统的报修。</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2.乙方在维修保养时，甲方应积极配合乙方做好相关工作。</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3.甲方在发出维修</w:t>
      </w:r>
      <w:r>
        <w:rPr>
          <w:rFonts w:hint="eastAsia" w:ascii="仿宋_GB2312" w:hAnsi="仿宋_GB2312" w:eastAsia="仿宋_GB2312" w:cs="仿宋_GB2312"/>
          <w:sz w:val="30"/>
          <w:szCs w:val="30"/>
          <w:lang w:eastAsia="zh-CN"/>
        </w:rPr>
        <w:t>要</w:t>
      </w:r>
      <w:r>
        <w:rPr>
          <w:rFonts w:hint="eastAsia" w:ascii="仿宋_GB2312" w:hAnsi="仿宋_GB2312" w:eastAsia="仿宋_GB2312" w:cs="仿宋_GB2312"/>
          <w:sz w:val="30"/>
          <w:szCs w:val="30"/>
        </w:rPr>
        <w:t>求时有义务告</w:t>
      </w:r>
      <w:r>
        <w:rPr>
          <w:rFonts w:hint="eastAsia" w:ascii="仿宋_GB2312" w:hAnsi="仿宋_GB2312" w:eastAsia="仿宋_GB2312" w:cs="仿宋_GB2312"/>
          <w:sz w:val="30"/>
          <w:szCs w:val="30"/>
          <w:lang w:eastAsia="zh-CN"/>
        </w:rPr>
        <w:t>知</w:t>
      </w:r>
      <w:r>
        <w:rPr>
          <w:rFonts w:hint="eastAsia" w:ascii="仿宋_GB2312" w:hAnsi="仿宋_GB2312" w:eastAsia="仿宋_GB2312" w:cs="仿宋_GB2312"/>
          <w:sz w:val="30"/>
          <w:szCs w:val="30"/>
        </w:rPr>
        <w:t>乙方有关系统故障的设备、现象、部位，供乙方做维修前的准备工作。</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4.甲方需提供原系统设备清单、系统原理图、产品设备说明书等相关资料。如甲方不能提供完整的资料，则有义务请原设计施工单位提供相关资料，以便乙方维护工作的顺利开展。</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5.在维修过程中如需乙方提供设备，甲方应对采购的主材设备进行检验审核，经验收合格后方</w:t>
      </w:r>
      <w:r>
        <w:rPr>
          <w:rFonts w:hint="eastAsia" w:ascii="仿宋_GB2312" w:hAnsi="仿宋_GB2312" w:eastAsia="仿宋_GB2312" w:cs="仿宋_GB2312"/>
          <w:sz w:val="30"/>
          <w:szCs w:val="30"/>
          <w:lang w:eastAsia="zh-CN"/>
        </w:rPr>
        <w:t>可</w:t>
      </w:r>
      <w:r>
        <w:rPr>
          <w:rFonts w:hint="eastAsia" w:ascii="仿宋_GB2312" w:hAnsi="仿宋_GB2312" w:eastAsia="仿宋_GB2312" w:cs="仿宋_GB2312"/>
          <w:sz w:val="30"/>
          <w:szCs w:val="30"/>
        </w:rPr>
        <w:t>安装。</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6.涉及其他部门的维修保养事项甲方应积极配合乙方做好协调工作。</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7.按照合同规定的付款方式及时间及时拨付工程款。</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（二）乙方权利和义务</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1.乙方维护保养时必须</w:t>
      </w:r>
      <w:r>
        <w:rPr>
          <w:rFonts w:hint="eastAsia" w:ascii="仿宋_GB2312" w:hAnsi="仿宋_GB2312" w:eastAsia="仿宋_GB2312" w:cs="仿宋_GB2312"/>
          <w:sz w:val="30"/>
          <w:szCs w:val="30"/>
          <w:lang w:eastAsia="zh-CN"/>
        </w:rPr>
        <w:t>携</w:t>
      </w:r>
      <w:r>
        <w:rPr>
          <w:rFonts w:hint="eastAsia" w:ascii="仿宋_GB2312" w:hAnsi="仿宋_GB2312" w:eastAsia="仿宋_GB2312" w:cs="仿宋_GB2312"/>
          <w:sz w:val="30"/>
          <w:szCs w:val="30"/>
        </w:rPr>
        <w:t>带维护保养单，维修及保养需经甲方指定人员签字认可。</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2.乙方在维护保养合同期间必须尽职尽责</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甲方发出维修请求后，乙方必须在规定时间内到达约定的地点进行维修。</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3.乙方在维护保养期间，应适当提供备品备件，保证录像系统工作的连续性。</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4.乙方在检修过程发现主材设备、线缆老化等情况应及时书面告知甲方。</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5.过保修期的设备维修费用由甲方承担，乙方免费负责安装、调试及设备的送修和返修工作。</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6.乙方保修电话和投诉电话应保证</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24小时处于可接听状态。</w:t>
      </w:r>
    </w:p>
    <w:p>
      <w:pPr>
        <w:pStyle w:val="5"/>
        <w:spacing w:line="480" w:lineRule="auto"/>
        <w:ind w:firstLine="600" w:firstLineChars="200"/>
        <w:rPr>
          <w:rFonts w:hint="eastAsia" w:ascii="黑体" w:hAnsi="黑体" w:eastAsia="黑体" w:cs="黑体"/>
          <w:b w:val="0"/>
          <w:bCs/>
          <w:sz w:val="30"/>
          <w:szCs w:val="30"/>
        </w:rPr>
      </w:pPr>
      <w:r>
        <w:rPr>
          <w:rFonts w:hint="eastAsia" w:ascii="黑体" w:hAnsi="黑体" w:eastAsia="黑体" w:cs="黑体"/>
          <w:b w:val="0"/>
          <w:bCs/>
          <w:sz w:val="30"/>
          <w:szCs w:val="30"/>
        </w:rPr>
        <w:t>第六条　合同价格和付款方式</w:t>
      </w:r>
    </w:p>
    <w:p>
      <w:pPr>
        <w:pStyle w:val="5"/>
        <w:spacing w:line="480" w:lineRule="auto"/>
        <w:ind w:firstLine="602" w:firstLineChars="200"/>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合同价款：</w:t>
      </w:r>
    </w:p>
    <w:p>
      <w:pPr>
        <w:pStyle w:val="5"/>
        <w:spacing w:line="480" w:lineRule="auto"/>
        <w:ind w:firstLine="644" w:firstLineChars="200"/>
        <w:rPr>
          <w:rFonts w:hint="eastAsia" w:ascii="仿宋_GB2312" w:hAnsi="仿宋_GB2312" w:eastAsia="仿宋_GB2312" w:cs="仿宋_GB2312"/>
          <w:sz w:val="30"/>
          <w:szCs w:val="30"/>
        </w:rPr>
      </w:pPr>
      <w:r>
        <w:rPr>
          <w:rFonts w:hint="eastAsia" w:ascii="仿宋_GB2312" w:hAnsi="仿宋_GB2312" w:eastAsia="仿宋_GB2312" w:cs="仿宋_GB2312"/>
          <w:spacing w:val="11"/>
          <w:sz w:val="30"/>
          <w:szCs w:val="30"/>
        </w:rPr>
        <w:t>合同总金额：含税价人民币</w:t>
      </w:r>
      <w:r>
        <w:rPr>
          <w:rFonts w:hint="eastAsia" w:ascii="仿宋_GB2312" w:hAnsi="仿宋_GB2312" w:eastAsia="仿宋_GB2312" w:cs="仿宋_GB2312"/>
          <w:spacing w:val="11"/>
          <w:sz w:val="30"/>
          <w:szCs w:val="30"/>
          <w:lang w:eastAsia="zh-CN"/>
        </w:rPr>
        <w:t>：</w:t>
      </w:r>
      <w:r>
        <w:rPr>
          <w:rFonts w:hint="eastAsia" w:ascii="仿宋_GB2312" w:hAnsi="仿宋_GB2312" w:eastAsia="仿宋_GB2312" w:cs="仿宋_GB2312"/>
          <w:spacing w:val="11"/>
          <w:sz w:val="30"/>
          <w:szCs w:val="30"/>
          <w:u w:val="single"/>
        </w:rPr>
        <w:t>(￥</w:t>
      </w:r>
      <w:r>
        <w:rPr>
          <w:rFonts w:hint="eastAsia" w:ascii="仿宋_GB2312" w:hAnsi="仿宋_GB2312" w:eastAsia="仿宋_GB2312" w:cs="仿宋_GB2312"/>
          <w:spacing w:val="11"/>
          <w:sz w:val="30"/>
          <w:szCs w:val="30"/>
          <w:u w:val="single"/>
          <w:lang w:val="en-US" w:eastAsia="zh-CN"/>
        </w:rPr>
        <w:t xml:space="preserve">    </w:t>
      </w:r>
      <w:r>
        <w:rPr>
          <w:rFonts w:hint="eastAsia" w:ascii="仿宋_GB2312" w:hAnsi="仿宋_GB2312" w:eastAsia="仿宋_GB2312" w:cs="仿宋_GB2312"/>
          <w:spacing w:val="11"/>
          <w:sz w:val="30"/>
          <w:szCs w:val="30"/>
          <w:u w:val="single"/>
        </w:rPr>
        <w:t>)</w:t>
      </w:r>
      <w:r>
        <w:rPr>
          <w:rFonts w:hint="eastAsia" w:ascii="仿宋_GB2312" w:hAnsi="仿宋_GB2312" w:eastAsia="仿宋_GB2312" w:cs="仿宋_GB2312"/>
          <w:spacing w:val="54"/>
          <w:sz w:val="30"/>
          <w:szCs w:val="30"/>
        </w:rPr>
        <w:t xml:space="preserve"> </w:t>
      </w:r>
      <w:r>
        <w:rPr>
          <w:rFonts w:hint="eastAsia" w:ascii="仿宋_GB2312" w:hAnsi="仿宋_GB2312" w:eastAsia="仿宋_GB2312" w:cs="仿宋_GB2312"/>
          <w:spacing w:val="11"/>
          <w:sz w:val="30"/>
          <w:szCs w:val="30"/>
        </w:rPr>
        <w:t>,包括不含税价款人民币</w:t>
      </w:r>
      <w:r>
        <w:rPr>
          <w:rFonts w:hint="eastAsia" w:ascii="仿宋_GB2312" w:hAnsi="仿宋_GB2312" w:eastAsia="仿宋_GB2312" w:cs="仿宋_GB2312"/>
          <w:spacing w:val="11"/>
          <w:sz w:val="30"/>
          <w:szCs w:val="30"/>
          <w:lang w:eastAsia="zh-CN"/>
        </w:rPr>
        <w:t>：</w:t>
      </w:r>
      <w:r>
        <w:rPr>
          <w:rFonts w:hint="eastAsia" w:ascii="仿宋_GB2312" w:hAnsi="仿宋_GB2312" w:eastAsia="仿宋_GB2312" w:cs="仿宋_GB2312"/>
          <w:spacing w:val="11"/>
          <w:sz w:val="30"/>
          <w:szCs w:val="30"/>
          <w:lang w:val="en-US" w:eastAsia="zh-CN"/>
        </w:rPr>
        <w:t xml:space="preserve">            </w:t>
      </w:r>
      <w:r>
        <w:rPr>
          <w:rFonts w:hint="eastAsia" w:ascii="仿宋_GB2312" w:hAnsi="仿宋_GB2312" w:eastAsia="仿宋_GB2312" w:cs="仿宋_GB2312"/>
          <w:spacing w:val="28"/>
          <w:sz w:val="30"/>
          <w:szCs w:val="30"/>
        </w:rPr>
        <w:t>,以及增值税款人民币</w:t>
      </w:r>
      <w:r>
        <w:rPr>
          <w:rFonts w:hint="eastAsia" w:ascii="仿宋_GB2312" w:hAnsi="仿宋_GB2312" w:eastAsia="仿宋_GB2312" w:cs="仿宋_GB2312"/>
          <w:spacing w:val="28"/>
          <w:sz w:val="30"/>
          <w:szCs w:val="30"/>
          <w:lang w:eastAsia="zh-CN"/>
        </w:rPr>
        <w:t>：</w:t>
      </w:r>
      <w:r>
        <w:rPr>
          <w:rFonts w:hint="eastAsia" w:ascii="仿宋_GB2312" w:hAnsi="仿宋_GB2312" w:eastAsia="仿宋_GB2312" w:cs="仿宋_GB2312"/>
          <w:spacing w:val="28"/>
          <w:sz w:val="30"/>
          <w:szCs w:val="30"/>
          <w:lang w:val="en-US" w:eastAsia="zh-CN"/>
        </w:rPr>
        <w:t xml:space="preserve">     </w:t>
      </w:r>
      <w:r>
        <w:rPr>
          <w:rFonts w:hint="eastAsia" w:ascii="仿宋_GB2312" w:hAnsi="仿宋_GB2312" w:eastAsia="仿宋_GB2312" w:cs="仿宋_GB2312"/>
          <w:spacing w:val="28"/>
          <w:sz w:val="30"/>
          <w:szCs w:val="30"/>
        </w:rPr>
        <w:t>。</w:t>
      </w:r>
      <w:r>
        <w:rPr>
          <w:rFonts w:hint="eastAsia" w:ascii="仿宋_GB2312" w:hAnsi="仿宋_GB2312" w:eastAsia="仿宋_GB2312" w:cs="仿宋_GB2312"/>
          <w:sz w:val="30"/>
          <w:szCs w:val="30"/>
        </w:rPr>
        <w:t>以下为兰州分行和各支行弱电维保费用明细：</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（一）</w:t>
      </w:r>
      <w:r>
        <w:rPr>
          <w:rFonts w:hint="eastAsia" w:ascii="仿宋_GB2312" w:hAnsi="仿宋_GB2312" w:eastAsia="仿宋_GB2312" w:cs="仿宋_GB2312"/>
          <w:sz w:val="30"/>
          <w:szCs w:val="30"/>
        </w:rPr>
        <w:t>兰州分行维保费用明细小写：</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元，大写:</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（二）</w:t>
      </w:r>
      <w:r>
        <w:rPr>
          <w:rFonts w:hint="eastAsia" w:ascii="仿宋_GB2312" w:hAnsi="仿宋_GB2312" w:eastAsia="仿宋_GB2312" w:cs="仿宋_GB2312"/>
          <w:sz w:val="30"/>
          <w:szCs w:val="30"/>
        </w:rPr>
        <w:t>东部支行维保费用明细小写：</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元，大写：</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（三）</w:t>
      </w:r>
      <w:r>
        <w:rPr>
          <w:rFonts w:hint="eastAsia" w:ascii="仿宋_GB2312" w:hAnsi="仿宋_GB2312" w:eastAsia="仿宋_GB2312" w:cs="仿宋_GB2312"/>
          <w:sz w:val="30"/>
          <w:szCs w:val="30"/>
        </w:rPr>
        <w:t>七里河支行维保费用明细小写：</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元，大写:</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（四）</w:t>
      </w:r>
      <w:r>
        <w:rPr>
          <w:rFonts w:hint="eastAsia" w:ascii="仿宋_GB2312" w:hAnsi="仿宋_GB2312" w:eastAsia="仿宋_GB2312" w:cs="仿宋_GB2312"/>
          <w:sz w:val="30"/>
          <w:szCs w:val="30"/>
        </w:rPr>
        <w:t>安宁支行维保费用明细小写：</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元，大写:</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（五）</w:t>
      </w:r>
      <w:r>
        <w:rPr>
          <w:rFonts w:hint="eastAsia" w:ascii="仿宋_GB2312" w:hAnsi="仿宋_GB2312" w:eastAsia="仿宋_GB2312" w:cs="仿宋_GB2312"/>
          <w:sz w:val="30"/>
          <w:szCs w:val="30"/>
        </w:rPr>
        <w:t>新区支行维保费用明细小写：</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元，大写:</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（六）</w:t>
      </w:r>
      <w:r>
        <w:rPr>
          <w:rFonts w:hint="eastAsia" w:ascii="仿宋_GB2312" w:hAnsi="仿宋_GB2312" w:eastAsia="仿宋_GB2312" w:cs="仿宋_GB2312"/>
          <w:sz w:val="30"/>
          <w:szCs w:val="30"/>
        </w:rPr>
        <w:t>城关支行维保费用明细小写：</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元，大写:</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w:t>
      </w:r>
    </w:p>
    <w:p>
      <w:pPr>
        <w:pStyle w:val="5"/>
        <w:spacing w:line="480" w:lineRule="auto"/>
        <w:ind w:firstLine="450" w:firstLineChars="150"/>
        <w:rPr>
          <w:rFonts w:hint="eastAsia" w:ascii="仿宋_GB2312" w:hAnsi="仿宋_GB2312" w:eastAsia="仿宋_GB2312" w:cs="仿宋_GB2312"/>
          <w:sz w:val="30"/>
          <w:szCs w:val="30"/>
          <w:lang w:eastAsia="zh-CN"/>
        </w:rPr>
      </w:pPr>
    </w:p>
    <w:p>
      <w:pPr>
        <w:pStyle w:val="5"/>
        <w:spacing w:line="480" w:lineRule="auto"/>
        <w:ind w:firstLine="480" w:firstLineChars="150"/>
        <w:rPr>
          <w:rFonts w:hint="eastAsia" w:ascii="仿宋_GB2312" w:hAnsi="仿宋_GB2312" w:eastAsia="仿宋_GB2312" w:cs="仿宋_GB2312"/>
          <w:sz w:val="30"/>
          <w:szCs w:val="30"/>
          <w:lang w:eastAsia="zh-CN"/>
        </w:rPr>
      </w:pPr>
      <w:r>
        <w:rPr>
          <w:rFonts w:hint="eastAsia" w:ascii="仿宋" w:hAnsi="仿宋" w:eastAsia="仿宋" w:cs="宋体"/>
          <w:sz w:val="32"/>
          <w:szCs w:val="32"/>
          <w:lang w:val="en-US" w:eastAsia="zh-CN" w:bidi="ar-SA"/>
        </w:rPr>
        <w:t xml:space="preserve">如各支行在合同期内因终止营业、迁址装修等原因暂停服务的，相关维保费用据实结算。  </w:t>
      </w:r>
    </w:p>
    <w:p>
      <w:pPr>
        <w:pStyle w:val="5"/>
        <w:spacing w:line="480" w:lineRule="auto"/>
        <w:ind w:firstLine="452" w:firstLineChars="150"/>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付款方式：</w:t>
      </w:r>
    </w:p>
    <w:p>
      <w:pPr>
        <w:pStyle w:val="5"/>
        <w:spacing w:line="480" w:lineRule="auto"/>
        <w:ind w:firstLine="450" w:firstLineChars="150"/>
        <w:rPr>
          <w:rFonts w:hint="eastAsia" w:ascii="仿宋" w:hAnsi="仿宋" w:eastAsia="仿宋" w:cs="宋体"/>
          <w:sz w:val="32"/>
          <w:szCs w:val="32"/>
          <w:lang w:val="en-US" w:eastAsia="zh-CN" w:bidi="ar-SA"/>
        </w:rPr>
      </w:pPr>
      <w:r>
        <w:rPr>
          <w:rFonts w:hint="eastAsia" w:ascii="仿宋_GB2312" w:hAnsi="仿宋_GB2312" w:eastAsia="仿宋_GB2312" w:cs="仿宋_GB2312"/>
          <w:sz w:val="30"/>
          <w:szCs w:val="30"/>
        </w:rPr>
        <w:t>甲乙双方签订合同后，甲方向乙方每半年付款一次，每次支付合同总金额的</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%，支付金额：</w:t>
      </w:r>
      <w:r>
        <w:rPr>
          <w:rFonts w:hint="eastAsia" w:ascii="仿宋_GB2312" w:hAnsi="仿宋_GB2312" w:eastAsia="仿宋_GB2312" w:cs="仿宋_GB2312"/>
          <w:b w:val="0"/>
          <w:bCs w:val="0"/>
          <w:sz w:val="30"/>
          <w:szCs w:val="30"/>
          <w:u w:val="single"/>
        </w:rPr>
        <w:t>¥</w:t>
      </w:r>
      <w:r>
        <w:rPr>
          <w:rFonts w:hint="eastAsia" w:ascii="仿宋_GB2312" w:hAnsi="仿宋_GB2312" w:eastAsia="仿宋_GB2312" w:cs="仿宋_GB2312"/>
          <w:b w:val="0"/>
          <w:bCs w:val="0"/>
          <w:sz w:val="30"/>
          <w:szCs w:val="30"/>
          <w:u w:val="single"/>
          <w:lang w:val="en-US" w:eastAsia="zh-CN"/>
        </w:rPr>
        <w:t xml:space="preserve">    </w:t>
      </w:r>
      <w:r>
        <w:rPr>
          <w:rFonts w:hint="eastAsia" w:ascii="仿宋_GB2312" w:hAnsi="仿宋_GB2312" w:eastAsia="仿宋_GB2312" w:cs="仿宋_GB2312"/>
          <w:sz w:val="30"/>
          <w:szCs w:val="30"/>
          <w:u w:val="single"/>
        </w:rPr>
        <w:t>元</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大写:</w:t>
      </w:r>
      <w:r>
        <w:rPr>
          <w:rFonts w:hint="eastAsia" w:ascii="仿宋_GB2312" w:hAnsi="仿宋_GB2312" w:eastAsia="仿宋_GB2312" w:cs="仿宋_GB2312"/>
          <w:sz w:val="30"/>
          <w:szCs w:val="30"/>
          <w:lang w:val="en-US" w:eastAsia="zh-CN"/>
        </w:rPr>
        <w:t>肆万叁仟柒佰伍拾元整</w:t>
      </w:r>
      <w:r>
        <w:rPr>
          <w:rFonts w:hint="eastAsia" w:ascii="仿宋_GB2312" w:hAnsi="仿宋_GB2312" w:eastAsia="仿宋_GB2312" w:cs="仿宋_GB2312"/>
          <w:sz w:val="30"/>
          <w:szCs w:val="30"/>
          <w:lang w:eastAsia="zh-CN"/>
        </w:rPr>
        <w:t>），</w:t>
      </w:r>
      <w:r>
        <w:rPr>
          <w:rFonts w:hint="eastAsia" w:ascii="仿宋" w:hAnsi="仿宋" w:eastAsia="仿宋" w:cs="宋体"/>
          <w:sz w:val="32"/>
          <w:szCs w:val="32"/>
          <w:lang w:val="en-US" w:eastAsia="zh-CN" w:bidi="ar-SA"/>
        </w:rPr>
        <w:t>甲方应在收到乙方开具的</w:t>
      </w:r>
      <w:r>
        <w:rPr>
          <w:rFonts w:hint="eastAsia" w:ascii="仿宋" w:hAnsi="仿宋" w:eastAsia="仿宋"/>
          <w:sz w:val="32"/>
          <w:szCs w:val="32"/>
        </w:rPr>
        <w:t>增值税专用发票</w:t>
      </w:r>
      <w:r>
        <w:rPr>
          <w:rFonts w:hint="eastAsia" w:ascii="仿宋" w:hAnsi="仿宋" w:eastAsia="仿宋"/>
          <w:sz w:val="32"/>
          <w:szCs w:val="32"/>
          <w:lang w:val="en-US" w:eastAsia="zh-CN"/>
        </w:rPr>
        <w:t>30个工作日内完成付款</w:t>
      </w:r>
      <w:r>
        <w:rPr>
          <w:rFonts w:hint="eastAsia" w:ascii="仿宋" w:hAnsi="仿宋" w:eastAsia="仿宋" w:cs="宋体"/>
          <w:sz w:val="32"/>
          <w:szCs w:val="32"/>
          <w:lang w:val="en-US" w:eastAsia="zh-CN" w:bidi="ar-SA"/>
        </w:rPr>
        <w:t>。</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乙方需要向甲方开具国家税务机关统一印制的正规发票，发票类型：增值税专用发票，发票内容：</w:t>
      </w:r>
      <w:r>
        <w:rPr>
          <w:rFonts w:hint="eastAsia" w:ascii="仿宋_GB2312" w:hAnsi="仿宋_GB2312" w:eastAsia="仿宋_GB2312" w:cs="仿宋_GB2312"/>
          <w:b w:val="0"/>
          <w:bCs w:val="0"/>
          <w:sz w:val="30"/>
          <w:szCs w:val="30"/>
        </w:rPr>
        <w:t>甲方开</w:t>
      </w:r>
      <w:r>
        <w:rPr>
          <w:rFonts w:hint="eastAsia" w:ascii="仿宋_GB2312" w:hAnsi="仿宋_GB2312" w:eastAsia="仿宋_GB2312" w:cs="仿宋_GB2312"/>
          <w:sz w:val="30"/>
          <w:szCs w:val="30"/>
        </w:rPr>
        <w:t>票信息如下；</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名称：浙商银行股份有限公司兰州分行</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纳税人识别号：91620000561125575Q</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地址：甘肃省兰州市城关区南昌路1888号</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电话：0931-8172122</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开户行：浙商银行兰州分行</w:t>
      </w:r>
      <w:r>
        <w:rPr>
          <w:rFonts w:hint="eastAsia" w:ascii="仿宋_GB2312" w:hAnsi="仿宋_GB2312" w:eastAsia="仿宋_GB2312" w:cs="仿宋_GB2312"/>
          <w:sz w:val="30"/>
          <w:szCs w:val="30"/>
          <w:lang w:eastAsia="zh-CN"/>
        </w:rPr>
        <w:t>营业</w:t>
      </w:r>
      <w:r>
        <w:rPr>
          <w:rFonts w:hint="eastAsia" w:ascii="仿宋_GB2312" w:hAnsi="仿宋_GB2312" w:eastAsia="仿宋_GB2312" w:cs="仿宋_GB2312"/>
          <w:sz w:val="30"/>
          <w:szCs w:val="30"/>
        </w:rPr>
        <w:t>部</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账号：8210000010120100000180</w:t>
      </w:r>
    </w:p>
    <w:p>
      <w:pPr>
        <w:pStyle w:val="5"/>
        <w:spacing w:line="480" w:lineRule="auto"/>
        <w:ind w:firstLine="450" w:firstLineChars="15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乙方付款信息如下：</w:t>
      </w:r>
    </w:p>
    <w:p>
      <w:pPr>
        <w:pStyle w:val="5"/>
        <w:spacing w:line="480" w:lineRule="auto"/>
        <w:ind w:firstLine="450" w:firstLineChars="15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名称：</w:t>
      </w:r>
    </w:p>
    <w:p>
      <w:pPr>
        <w:pStyle w:val="5"/>
        <w:spacing w:line="480" w:lineRule="auto"/>
        <w:ind w:firstLine="450" w:firstLineChars="15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纳税人识别号：916201023160213181</w:t>
      </w:r>
      <w:r>
        <w:rPr>
          <w:rFonts w:hint="eastAsia" w:ascii="仿宋_GB2312" w:hAnsi="仿宋_GB2312" w:eastAsia="仿宋_GB2312" w:cs="仿宋_GB2312"/>
          <w:sz w:val="30"/>
          <w:szCs w:val="30"/>
          <w:lang w:val="en-US" w:eastAsia="zh-CN"/>
        </w:rPr>
        <w:t xml:space="preserve"> </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地址：</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电话：</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开户行：  </w:t>
      </w:r>
    </w:p>
    <w:p>
      <w:pPr>
        <w:pStyle w:val="5"/>
        <w:spacing w:line="480" w:lineRule="auto"/>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账号：</w:t>
      </w:r>
    </w:p>
    <w:p>
      <w:pPr>
        <w:pStyle w:val="5"/>
        <w:spacing w:line="48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如果本合同价款增加或减少的，相应的增值税款将随之增加或减少。如果乙方按照相关法律法规规定或本合同约定应向甲方退还全部或部分价款的，乙方应当向甲方退还相应的增值税款，同时乙方应当按相关法律法规规定或本合同约定向甲方重新开具增值税发票或开具增值税红字发票。</w:t>
      </w:r>
    </w:p>
    <w:p>
      <w:pPr>
        <w:pStyle w:val="5"/>
        <w:spacing w:line="48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本合同双方应各自承担其按中国法律法规及时足额缴纳税款而产生的全部责任，在合同履行过程中无</w:t>
      </w:r>
      <w:r>
        <w:rPr>
          <w:rFonts w:hint="eastAsia" w:ascii="仿宋_GB2312" w:hAnsi="仿宋_GB2312" w:eastAsia="仿宋_GB2312" w:cs="仿宋_GB2312"/>
          <w:sz w:val="30"/>
          <w:szCs w:val="30"/>
          <w:lang w:eastAsia="zh-CN"/>
        </w:rPr>
        <w:t>偷税漏税</w:t>
      </w:r>
      <w:r>
        <w:rPr>
          <w:rFonts w:hint="eastAsia" w:ascii="仿宋_GB2312" w:hAnsi="仿宋_GB2312" w:eastAsia="仿宋_GB2312" w:cs="仿宋_GB2312"/>
          <w:sz w:val="30"/>
          <w:szCs w:val="30"/>
        </w:rPr>
        <w:t>、走私等行为。甲方不因签署本合同而导致连带承担乙方的税务责任，如果因此而导致甲方的损失，乙方应当向甲方支付补偿。</w:t>
      </w:r>
    </w:p>
    <w:p>
      <w:pPr>
        <w:pStyle w:val="5"/>
        <w:spacing w:line="480" w:lineRule="auto"/>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发票开具及交付条款</w:t>
      </w:r>
    </w:p>
    <w:p>
      <w:pPr>
        <w:pStyle w:val="5"/>
        <w:spacing w:line="48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乙方应根据现行增值税法律法规要求，根据甲方提供的开票信息，按照提供的货物/服务内容以及适用的税率开具合法有效的增值税专用发票，并在开具合法有效的增值税发票后的</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个工作日内向甲方发票接收人员交付增值税发票。甲方的发票接收人员联系方式详见甲方商务联系人联系方式。</w:t>
      </w:r>
    </w:p>
    <w:p>
      <w:pPr>
        <w:pStyle w:val="5"/>
        <w:spacing w:line="48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乙方应当采用专人或通过特快专递的方式向甲方交付增值税发票，甲方如未按时取得增值税发票的，应当及时告知乙方。如果双方发现存在增值税发票遗失的情况，应当共同按照相关法律法规的规定要求进行发票遗失处理。 </w:t>
      </w:r>
    </w:p>
    <w:p>
      <w:pPr>
        <w:pStyle w:val="5"/>
        <w:spacing w:line="48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如果因乙方的原因导致任何延期开具和交付增值税发票的情况，甲方有权就因此而产生的损失要求乙方按实际损失金额支付赔偿。 </w:t>
      </w:r>
    </w:p>
    <w:p>
      <w:pPr>
        <w:pStyle w:val="5"/>
        <w:spacing w:line="48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如果乙方未能按本合同约定向甲方开具并及时交付合法有效的增值税发票，或者乙方虽按约定向甲方交付增值税发票，但所交付发票的真实性和有效性存在问题致使甲方无法认证和抵扣相关进项税款，甲方将不予支付全部款项。如果甲方因抵扣乙方开具的非真实有效的增值税专用发票而遭受损失或税务机关</w:t>
      </w:r>
      <w:r>
        <w:rPr>
          <w:rFonts w:hint="eastAsia" w:ascii="仿宋_GB2312" w:hAnsi="仿宋_GB2312" w:eastAsia="仿宋_GB2312" w:cs="仿宋_GB2312"/>
          <w:sz w:val="30"/>
          <w:szCs w:val="30"/>
          <w:lang w:eastAsia="zh-CN"/>
        </w:rPr>
        <w:t>扣减服务费</w:t>
      </w:r>
      <w:r>
        <w:rPr>
          <w:rFonts w:hint="eastAsia" w:ascii="仿宋_GB2312" w:hAnsi="仿宋_GB2312" w:eastAsia="仿宋_GB2312" w:cs="仿宋_GB2312"/>
          <w:sz w:val="30"/>
          <w:szCs w:val="30"/>
        </w:rPr>
        <w:t>的，乙方应当向甲方支付相应赔偿款，且甲方有权就相关损失金额从甲方应付乙方的合同总价中扣除。</w:t>
      </w:r>
    </w:p>
    <w:p>
      <w:pPr>
        <w:pStyle w:val="5"/>
        <w:spacing w:line="480" w:lineRule="auto"/>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发票退回及红字发票条款</w:t>
      </w:r>
    </w:p>
    <w:p>
      <w:pPr>
        <w:pStyle w:val="5"/>
        <w:spacing w:line="48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如果乙方未按照相关法律法规规定或本合同约定开具增值税发票，或者甲方对于取得的增值税专用发票无法认证，甲方将在认证失败或得知发票无法认证的情况时通知乙方，并将发票退回给乙方，乙方应当在取得甲方所退回发票之日起的</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20</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 xml:space="preserve">个工作日内将发票予以作废，并应向甲方重新开具和交付合法有效的增值税发票。 </w:t>
      </w:r>
    </w:p>
    <w:p>
      <w:pPr>
        <w:pStyle w:val="5"/>
        <w:spacing w:line="48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如果出现销货退回、开票有误、应税服务中止以及发票抵扣联/发票联均无法认证等情形但不符合作废条件，或者因销货部分退回及发生销售折让等原因，需要开具增值税红字专用发票的，乙方应当按照相关法律法规规定或本合同约定，及时向甲方开具并交付合法有效的增值税红字</w:t>
      </w:r>
      <w:r>
        <w:rPr>
          <w:rFonts w:hint="eastAsia" w:ascii="仿宋_GB2312" w:hAnsi="仿宋_GB2312" w:eastAsia="仿宋_GB2312" w:cs="仿宋_GB2312"/>
          <w:sz w:val="30"/>
          <w:szCs w:val="30"/>
          <w:lang w:eastAsia="zh-CN"/>
        </w:rPr>
        <w:t>专用</w:t>
      </w:r>
      <w:r>
        <w:rPr>
          <w:rFonts w:hint="eastAsia" w:ascii="仿宋_GB2312" w:hAnsi="仿宋_GB2312" w:eastAsia="仿宋_GB2312" w:cs="仿宋_GB2312"/>
          <w:sz w:val="30"/>
          <w:szCs w:val="30"/>
        </w:rPr>
        <w:t>发票。</w:t>
      </w:r>
    </w:p>
    <w:p>
      <w:pPr>
        <w:pStyle w:val="5"/>
        <w:spacing w:line="480" w:lineRule="auto"/>
        <w:ind w:firstLine="600" w:firstLineChars="200"/>
        <w:rPr>
          <w:rFonts w:hint="eastAsia" w:ascii="黑体" w:hAnsi="黑体" w:eastAsia="黑体" w:cs="黑体"/>
          <w:b w:val="0"/>
          <w:bCs/>
          <w:sz w:val="30"/>
          <w:szCs w:val="30"/>
        </w:rPr>
      </w:pPr>
      <w:r>
        <w:rPr>
          <w:rFonts w:hint="eastAsia" w:ascii="黑体" w:hAnsi="黑体" w:eastAsia="黑体" w:cs="黑体"/>
          <w:b w:val="0"/>
          <w:bCs/>
          <w:sz w:val="30"/>
          <w:szCs w:val="30"/>
        </w:rPr>
        <w:t>第七条  项目标准及质量保证</w:t>
      </w:r>
    </w:p>
    <w:p>
      <w:pPr>
        <w:pStyle w:val="5"/>
        <w:spacing w:line="48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kern w:val="2"/>
          <w:sz w:val="30"/>
          <w:szCs w:val="30"/>
          <w:lang w:val="en-US" w:eastAsia="zh-CN" w:bidi="ar-SA"/>
        </w:rPr>
        <w:t>（一）《</w:t>
      </w:r>
      <w:r>
        <w:rPr>
          <w:rFonts w:hint="eastAsia" w:ascii="仿宋_GB2312" w:hAnsi="仿宋_GB2312" w:eastAsia="仿宋_GB2312" w:cs="仿宋_GB2312"/>
          <w:sz w:val="30"/>
          <w:szCs w:val="30"/>
        </w:rPr>
        <w:t>银行营业场所安全防范要求》GA 38-20</w:t>
      </w:r>
      <w:r>
        <w:rPr>
          <w:rFonts w:hint="eastAsia" w:ascii="仿宋_GB2312" w:hAnsi="仿宋_GB2312" w:eastAsia="仿宋_GB2312" w:cs="仿宋_GB2312"/>
          <w:sz w:val="30"/>
          <w:szCs w:val="30"/>
          <w:lang w:val="en-US" w:eastAsia="zh-CN"/>
        </w:rPr>
        <w:t>21</w:t>
      </w:r>
    </w:p>
    <w:p>
      <w:pPr>
        <w:pStyle w:val="5"/>
        <w:spacing w:line="48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（二）</w:t>
      </w:r>
      <w:r>
        <w:rPr>
          <w:rFonts w:hint="eastAsia" w:ascii="仿宋_GB2312" w:hAnsi="仿宋_GB2312" w:eastAsia="仿宋_GB2312" w:cs="仿宋_GB2312"/>
          <w:sz w:val="30"/>
          <w:szCs w:val="30"/>
        </w:rPr>
        <w:t>《银行自助设备、自助银行安全防范要求》GA 745-20</w:t>
      </w:r>
      <w:r>
        <w:rPr>
          <w:rFonts w:hint="eastAsia" w:ascii="仿宋_GB2312" w:hAnsi="仿宋_GB2312" w:eastAsia="仿宋_GB2312" w:cs="仿宋_GB2312"/>
          <w:sz w:val="30"/>
          <w:szCs w:val="30"/>
          <w:lang w:val="en-US" w:eastAsia="zh-CN"/>
        </w:rPr>
        <w:t>21</w:t>
      </w:r>
    </w:p>
    <w:p>
      <w:pPr>
        <w:pStyle w:val="5"/>
        <w:spacing w:line="48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（三）其他行业标准</w:t>
      </w:r>
    </w:p>
    <w:p>
      <w:pPr>
        <w:pStyle w:val="5"/>
        <w:spacing w:line="480" w:lineRule="auto"/>
        <w:ind w:firstLine="600" w:firstLineChars="200"/>
        <w:rPr>
          <w:rFonts w:hint="eastAsia" w:ascii="黑体" w:hAnsi="黑体" w:eastAsia="黑体" w:cs="黑体"/>
          <w:b w:val="0"/>
          <w:bCs/>
          <w:sz w:val="30"/>
          <w:szCs w:val="30"/>
        </w:rPr>
      </w:pPr>
      <w:r>
        <w:rPr>
          <w:rFonts w:hint="eastAsia" w:ascii="黑体" w:hAnsi="黑体" w:eastAsia="黑体" w:cs="黑体"/>
          <w:b w:val="0"/>
          <w:bCs/>
          <w:sz w:val="30"/>
          <w:szCs w:val="30"/>
        </w:rPr>
        <w:t>第</w:t>
      </w:r>
      <w:r>
        <w:rPr>
          <w:rFonts w:hint="eastAsia" w:ascii="黑体" w:hAnsi="黑体" w:eastAsia="黑体" w:cs="黑体"/>
          <w:b w:val="0"/>
          <w:bCs/>
          <w:sz w:val="30"/>
          <w:szCs w:val="30"/>
          <w:lang w:eastAsia="zh-CN"/>
        </w:rPr>
        <w:t>八</w:t>
      </w:r>
      <w:r>
        <w:rPr>
          <w:rFonts w:hint="eastAsia" w:ascii="黑体" w:hAnsi="黑体" w:eastAsia="黑体" w:cs="黑体"/>
          <w:b w:val="0"/>
          <w:bCs/>
          <w:sz w:val="30"/>
          <w:szCs w:val="30"/>
        </w:rPr>
        <w:t>条  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150"/>
        <w:jc w:val="both"/>
        <w:textAlignment w:val="auto"/>
        <w:rPr>
          <w:rFonts w:hint="eastAsia" w:ascii="仿宋_GB2312" w:hAnsi="仿宋_GB2312" w:eastAsia="仿宋_GB2312" w:cs="仿宋_GB2312"/>
          <w:color w:val="000000"/>
          <w:kern w:val="2"/>
          <w:sz w:val="32"/>
          <w:szCs w:val="32"/>
          <w:highlight w:val="none"/>
          <w:lang w:eastAsia="zh-CN"/>
        </w:rPr>
      </w:pPr>
      <w:r>
        <w:rPr>
          <w:rFonts w:hint="eastAsia" w:ascii="仿宋_GB2312" w:hAnsi="仿宋_GB2312" w:eastAsia="仿宋_GB2312" w:cs="仿宋_GB2312"/>
          <w:color w:val="000000"/>
          <w:kern w:val="2"/>
          <w:sz w:val="32"/>
          <w:szCs w:val="32"/>
          <w:highlight w:val="none"/>
          <w:lang w:eastAsia="zh-CN"/>
        </w:rPr>
        <w:t>（一）乙方未在规定时间内到达，每次予以</w:t>
      </w:r>
      <w:r>
        <w:rPr>
          <w:rFonts w:hint="eastAsia" w:ascii="仿宋_GB2312" w:hAnsi="仿宋_GB2312" w:eastAsia="仿宋_GB2312" w:cs="仿宋_GB2312"/>
          <w:color w:val="000000"/>
          <w:kern w:val="2"/>
          <w:sz w:val="32"/>
          <w:szCs w:val="32"/>
          <w:highlight w:val="none"/>
          <w:lang w:val="en-US" w:eastAsia="zh-CN"/>
        </w:rPr>
        <w:t>3</w:t>
      </w:r>
      <w:r>
        <w:rPr>
          <w:rFonts w:hint="eastAsia" w:ascii="仿宋_GB2312" w:hAnsi="仿宋_GB2312" w:eastAsia="仿宋_GB2312" w:cs="仿宋_GB2312"/>
          <w:color w:val="000000"/>
          <w:kern w:val="2"/>
          <w:sz w:val="32"/>
          <w:szCs w:val="32"/>
          <w:highlight w:val="none"/>
          <w:lang w:eastAsia="zh-CN"/>
        </w:rPr>
        <w:t>00元以上的扣除服务费，累计发生</w:t>
      </w:r>
      <w:r>
        <w:rPr>
          <w:rFonts w:hint="eastAsia" w:ascii="仿宋_GB2312" w:hAnsi="仿宋_GB2312" w:eastAsia="仿宋_GB2312" w:cs="仿宋_GB2312"/>
          <w:color w:val="000000"/>
          <w:kern w:val="2"/>
          <w:sz w:val="32"/>
          <w:szCs w:val="32"/>
          <w:highlight w:val="none"/>
          <w:lang w:val="en-US" w:eastAsia="zh-CN"/>
        </w:rPr>
        <w:t>2</w:t>
      </w:r>
      <w:r>
        <w:rPr>
          <w:rFonts w:hint="eastAsia" w:ascii="仿宋_GB2312" w:hAnsi="仿宋_GB2312" w:eastAsia="仿宋_GB2312" w:cs="仿宋_GB2312"/>
          <w:color w:val="000000"/>
          <w:kern w:val="2"/>
          <w:sz w:val="32"/>
          <w:szCs w:val="32"/>
          <w:highlight w:val="none"/>
          <w:lang w:eastAsia="zh-CN"/>
        </w:rPr>
        <w:t>次</w:t>
      </w:r>
      <w:r>
        <w:rPr>
          <w:rFonts w:hint="eastAsia" w:ascii="仿宋_GB2312" w:hAnsi="仿宋_GB2312" w:eastAsia="仿宋_GB2312" w:cs="仿宋_GB2312"/>
          <w:color w:val="000000"/>
          <w:kern w:val="2"/>
          <w:sz w:val="32"/>
          <w:szCs w:val="32"/>
          <w:highlight w:val="none"/>
          <w:lang w:val="en-US" w:eastAsia="zh-CN"/>
        </w:rPr>
        <w:t>及</w:t>
      </w:r>
      <w:r>
        <w:rPr>
          <w:rFonts w:hint="eastAsia" w:ascii="仿宋_GB2312" w:hAnsi="仿宋_GB2312" w:eastAsia="仿宋_GB2312" w:cs="仿宋_GB2312"/>
          <w:color w:val="000000"/>
          <w:kern w:val="2"/>
          <w:sz w:val="32"/>
          <w:szCs w:val="32"/>
          <w:highlight w:val="none"/>
          <w:lang w:eastAsia="zh-CN"/>
        </w:rPr>
        <w:t>以上按全年合同价的</w:t>
      </w:r>
      <w:r>
        <w:rPr>
          <w:rFonts w:hint="eastAsia" w:ascii="仿宋_GB2312" w:hAnsi="仿宋_GB2312" w:eastAsia="仿宋_GB2312" w:cs="仿宋_GB2312"/>
          <w:color w:val="000000"/>
          <w:kern w:val="2"/>
          <w:sz w:val="32"/>
          <w:szCs w:val="32"/>
          <w:highlight w:val="none"/>
          <w:lang w:val="en-US" w:eastAsia="zh-CN"/>
        </w:rPr>
        <w:t>8</w:t>
      </w:r>
      <w:r>
        <w:rPr>
          <w:rFonts w:hint="eastAsia" w:ascii="仿宋_GB2312" w:hAnsi="仿宋_GB2312" w:eastAsia="仿宋_GB2312" w:cs="仿宋_GB2312"/>
          <w:color w:val="000000"/>
          <w:kern w:val="2"/>
          <w:sz w:val="32"/>
          <w:szCs w:val="32"/>
          <w:highlight w:val="none"/>
          <w:lang w:eastAsia="zh-CN"/>
        </w:rPr>
        <w:t>%以上扣除服务费。一年内累计发生</w:t>
      </w:r>
      <w:r>
        <w:rPr>
          <w:rFonts w:hint="eastAsia" w:ascii="仿宋_GB2312" w:hAnsi="仿宋_GB2312" w:eastAsia="仿宋_GB2312" w:cs="仿宋_GB2312"/>
          <w:color w:val="000000"/>
          <w:kern w:val="2"/>
          <w:sz w:val="32"/>
          <w:szCs w:val="32"/>
          <w:highlight w:val="none"/>
          <w:lang w:val="en-US" w:eastAsia="zh-CN"/>
        </w:rPr>
        <w:t>3次及</w:t>
      </w:r>
      <w:r>
        <w:rPr>
          <w:rFonts w:hint="eastAsia" w:ascii="仿宋_GB2312" w:hAnsi="仿宋_GB2312" w:eastAsia="仿宋_GB2312" w:cs="仿宋_GB2312"/>
          <w:color w:val="000000"/>
          <w:kern w:val="2"/>
          <w:sz w:val="32"/>
          <w:szCs w:val="32"/>
          <w:highlight w:val="none"/>
          <w:lang w:eastAsia="zh-CN"/>
        </w:rPr>
        <w:t>以上的，甲方有权解除合同。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150"/>
        <w:jc w:val="both"/>
        <w:textAlignment w:val="auto"/>
        <w:rPr>
          <w:rFonts w:hint="eastAsia" w:ascii="仿宋_GB2312" w:hAnsi="仿宋_GB2312" w:eastAsia="仿宋_GB2312" w:cs="仿宋_GB2312"/>
          <w:color w:val="000000"/>
          <w:kern w:val="2"/>
          <w:sz w:val="32"/>
          <w:szCs w:val="32"/>
          <w:highlight w:val="none"/>
          <w:lang w:eastAsia="zh-CN"/>
        </w:rPr>
      </w:pPr>
      <w:r>
        <w:rPr>
          <w:rFonts w:hint="eastAsia" w:ascii="仿宋_GB2312" w:hAnsi="仿宋_GB2312" w:eastAsia="仿宋_GB2312" w:cs="仿宋_GB2312"/>
          <w:color w:val="000000"/>
          <w:kern w:val="2"/>
          <w:sz w:val="32"/>
          <w:szCs w:val="32"/>
          <w:highlight w:val="none"/>
          <w:lang w:eastAsia="zh-CN"/>
        </w:rPr>
        <w:t>（二）因乙方维保人员误操作及维修过程中造成甲方设施设备等损失的，乙方应及时修复，确保正常运行，并每次按全年合同价的</w:t>
      </w:r>
      <w:r>
        <w:rPr>
          <w:rFonts w:hint="eastAsia" w:ascii="仿宋_GB2312" w:hAnsi="仿宋_GB2312" w:eastAsia="仿宋_GB2312" w:cs="仿宋_GB2312"/>
          <w:color w:val="000000"/>
          <w:kern w:val="2"/>
          <w:sz w:val="32"/>
          <w:szCs w:val="32"/>
          <w:highlight w:val="none"/>
          <w:lang w:val="en-US" w:eastAsia="zh-CN"/>
        </w:rPr>
        <w:t>1</w:t>
      </w:r>
      <w:r>
        <w:rPr>
          <w:rFonts w:hint="eastAsia" w:ascii="仿宋_GB2312" w:hAnsi="仿宋_GB2312" w:eastAsia="仿宋_GB2312" w:cs="仿宋_GB2312"/>
          <w:color w:val="000000"/>
          <w:kern w:val="2"/>
          <w:sz w:val="32"/>
          <w:szCs w:val="32"/>
          <w:highlight w:val="none"/>
          <w:lang w:eastAsia="zh-CN"/>
        </w:rPr>
        <w:t>5%交纳赔偿款，如罚款不能覆盖甲方损失的，还应追加赔偿。一年内累计发生</w:t>
      </w:r>
      <w:r>
        <w:rPr>
          <w:rFonts w:hint="eastAsia" w:ascii="仿宋_GB2312" w:hAnsi="仿宋_GB2312" w:eastAsia="仿宋_GB2312" w:cs="仿宋_GB2312"/>
          <w:color w:val="000000"/>
          <w:kern w:val="2"/>
          <w:sz w:val="32"/>
          <w:szCs w:val="32"/>
          <w:highlight w:val="none"/>
          <w:lang w:val="en-US" w:eastAsia="zh-CN"/>
        </w:rPr>
        <w:t>3次及</w:t>
      </w:r>
      <w:r>
        <w:rPr>
          <w:rFonts w:hint="eastAsia" w:ascii="仿宋_GB2312" w:hAnsi="仿宋_GB2312" w:eastAsia="仿宋_GB2312" w:cs="仿宋_GB2312"/>
          <w:color w:val="000000"/>
          <w:kern w:val="2"/>
          <w:sz w:val="32"/>
          <w:szCs w:val="32"/>
          <w:highlight w:val="none"/>
          <w:lang w:eastAsia="zh-CN"/>
        </w:rPr>
        <w:t>以上的，甲方有权解除合同。因甲方操作人员人为损坏及误操作、设备故障等原因造成损失的，由甲方承担相应责任及相关费用。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150"/>
        <w:jc w:val="both"/>
        <w:textAlignment w:val="auto"/>
        <w:rPr>
          <w:rFonts w:hint="default"/>
          <w:highlight w:val="none"/>
          <w:lang w:val="en-US" w:eastAsia="zh-CN"/>
        </w:rPr>
      </w:pPr>
      <w:r>
        <w:rPr>
          <w:rFonts w:hint="eastAsia" w:ascii="仿宋_GB2312" w:hAnsi="仿宋_GB2312" w:eastAsia="仿宋_GB2312" w:cs="仿宋_GB2312"/>
          <w:color w:val="000000"/>
          <w:kern w:val="2"/>
          <w:sz w:val="32"/>
          <w:szCs w:val="32"/>
          <w:highlight w:val="none"/>
          <w:lang w:eastAsia="zh-CN"/>
        </w:rPr>
        <w:t>（三）因乙方维保过程中未及时发现并处理我行相关制度规定的技防问题，如保存天数不达标、拾音器录音不清等（</w:t>
      </w:r>
      <w:r>
        <w:rPr>
          <w:rFonts w:hint="eastAsia" w:ascii="仿宋_GB2312" w:hAnsi="仿宋_GB2312" w:eastAsia="仿宋_GB2312" w:cs="仿宋_GB2312"/>
          <w:color w:val="000000"/>
          <w:kern w:val="2"/>
          <w:sz w:val="32"/>
          <w:szCs w:val="32"/>
          <w:highlight w:val="none"/>
          <w:lang w:val="en-US" w:eastAsia="zh-CN"/>
        </w:rPr>
        <w:t>具体内容见附件)</w:t>
      </w:r>
      <w:r>
        <w:rPr>
          <w:rFonts w:hint="eastAsia" w:ascii="仿宋_GB2312" w:hAnsi="仿宋_GB2312" w:eastAsia="仿宋_GB2312" w:cs="仿宋_GB2312"/>
          <w:color w:val="000000"/>
          <w:kern w:val="2"/>
          <w:sz w:val="32"/>
          <w:szCs w:val="32"/>
          <w:highlight w:val="none"/>
          <w:lang w:eastAsia="zh-CN"/>
        </w:rPr>
        <w:t>，每次予以</w:t>
      </w:r>
      <w:r>
        <w:rPr>
          <w:rFonts w:hint="eastAsia" w:ascii="仿宋_GB2312" w:hAnsi="仿宋_GB2312" w:eastAsia="仿宋_GB2312" w:cs="仿宋_GB2312"/>
          <w:color w:val="000000"/>
          <w:kern w:val="2"/>
          <w:sz w:val="32"/>
          <w:szCs w:val="32"/>
          <w:highlight w:val="none"/>
          <w:lang w:val="en-US" w:eastAsia="zh-CN"/>
        </w:rPr>
        <w:t>3</w:t>
      </w:r>
      <w:r>
        <w:rPr>
          <w:rFonts w:hint="eastAsia" w:ascii="仿宋_GB2312" w:hAnsi="仿宋_GB2312" w:eastAsia="仿宋_GB2312" w:cs="仿宋_GB2312"/>
          <w:color w:val="000000"/>
          <w:kern w:val="2"/>
          <w:sz w:val="32"/>
          <w:szCs w:val="32"/>
          <w:highlight w:val="none"/>
          <w:lang w:eastAsia="zh-CN"/>
        </w:rPr>
        <w:t>00元扣除服务费，累计发生</w:t>
      </w:r>
      <w:r>
        <w:rPr>
          <w:rFonts w:hint="eastAsia" w:ascii="仿宋_GB2312" w:hAnsi="仿宋_GB2312" w:eastAsia="仿宋_GB2312" w:cs="仿宋_GB2312"/>
          <w:color w:val="000000"/>
          <w:kern w:val="2"/>
          <w:sz w:val="32"/>
          <w:szCs w:val="32"/>
          <w:highlight w:val="none"/>
          <w:lang w:val="en-US" w:eastAsia="zh-CN"/>
        </w:rPr>
        <w:t>2</w:t>
      </w:r>
      <w:r>
        <w:rPr>
          <w:rFonts w:hint="eastAsia" w:ascii="仿宋_GB2312" w:hAnsi="仿宋_GB2312" w:eastAsia="仿宋_GB2312" w:cs="仿宋_GB2312"/>
          <w:color w:val="000000"/>
          <w:kern w:val="2"/>
          <w:sz w:val="32"/>
          <w:szCs w:val="32"/>
          <w:highlight w:val="none"/>
          <w:lang w:eastAsia="zh-CN"/>
        </w:rPr>
        <w:t>次</w:t>
      </w:r>
      <w:r>
        <w:rPr>
          <w:rFonts w:hint="eastAsia" w:ascii="仿宋_GB2312" w:hAnsi="仿宋_GB2312" w:eastAsia="仿宋_GB2312" w:cs="仿宋_GB2312"/>
          <w:color w:val="000000"/>
          <w:kern w:val="2"/>
          <w:sz w:val="32"/>
          <w:szCs w:val="32"/>
          <w:highlight w:val="none"/>
          <w:lang w:val="en-US" w:eastAsia="zh-CN"/>
        </w:rPr>
        <w:t>及</w:t>
      </w:r>
      <w:r>
        <w:rPr>
          <w:rFonts w:hint="eastAsia" w:ascii="仿宋_GB2312" w:hAnsi="仿宋_GB2312" w:eastAsia="仿宋_GB2312" w:cs="仿宋_GB2312"/>
          <w:color w:val="000000"/>
          <w:kern w:val="2"/>
          <w:sz w:val="32"/>
          <w:szCs w:val="32"/>
          <w:highlight w:val="none"/>
          <w:lang w:eastAsia="zh-CN"/>
        </w:rPr>
        <w:t>以上加倍扣除。一年内累计发生</w:t>
      </w:r>
      <w:r>
        <w:rPr>
          <w:rFonts w:hint="eastAsia" w:ascii="仿宋_GB2312" w:hAnsi="仿宋_GB2312" w:eastAsia="仿宋_GB2312" w:cs="仿宋_GB2312"/>
          <w:color w:val="000000"/>
          <w:kern w:val="2"/>
          <w:sz w:val="32"/>
          <w:szCs w:val="32"/>
          <w:highlight w:val="none"/>
          <w:lang w:val="en-US" w:eastAsia="zh-CN"/>
        </w:rPr>
        <w:t>3次及</w:t>
      </w:r>
      <w:r>
        <w:rPr>
          <w:rFonts w:hint="eastAsia" w:ascii="仿宋_GB2312" w:hAnsi="仿宋_GB2312" w:eastAsia="仿宋_GB2312" w:cs="仿宋_GB2312"/>
          <w:color w:val="000000"/>
          <w:kern w:val="2"/>
          <w:sz w:val="32"/>
          <w:szCs w:val="32"/>
          <w:highlight w:val="none"/>
          <w:lang w:eastAsia="zh-CN"/>
        </w:rPr>
        <w:t>以上的，甲方有权解除合同。</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eastAsia="仿宋_GB2312"/>
          <w:lang w:eastAsia="zh-CN"/>
        </w:rPr>
      </w:pPr>
      <w:r>
        <w:rPr>
          <w:rFonts w:hint="eastAsia" w:ascii="仿宋_GB2312" w:hAnsi="仿宋_GB2312" w:eastAsia="仿宋_GB2312" w:cs="仿宋_GB2312"/>
          <w:color w:val="000000"/>
          <w:kern w:val="2"/>
          <w:sz w:val="32"/>
          <w:szCs w:val="32"/>
          <w:lang w:eastAsia="zh-CN"/>
        </w:rPr>
        <w:t>（四）</w:t>
      </w:r>
      <w:r>
        <w:rPr>
          <w:rFonts w:hint="eastAsia" w:ascii="仿宋_GB2312" w:hAnsi="宋体" w:eastAsia="仿宋_GB2312" w:cs="宋体"/>
          <w:bCs/>
          <w:sz w:val="32"/>
          <w:szCs w:val="32"/>
          <w:highlight w:val="none"/>
        </w:rPr>
        <w:t>对</w:t>
      </w:r>
      <w:r>
        <w:rPr>
          <w:rFonts w:hint="eastAsia" w:ascii="仿宋_GB2312" w:eastAsia="仿宋_GB2312" w:cs="宋体"/>
          <w:bCs/>
          <w:sz w:val="32"/>
          <w:szCs w:val="32"/>
          <w:highlight w:val="none"/>
          <w:lang w:eastAsia="zh-CN"/>
        </w:rPr>
        <w:t>乙方</w:t>
      </w:r>
      <w:r>
        <w:rPr>
          <w:rFonts w:hint="eastAsia" w:ascii="仿宋_GB2312" w:hAnsi="宋体" w:eastAsia="仿宋_GB2312" w:cs="宋体"/>
          <w:bCs/>
          <w:sz w:val="32"/>
          <w:szCs w:val="32"/>
          <w:highlight w:val="none"/>
        </w:rPr>
        <w:t>不能按合同要求履行义务的，或存在严重风险隐患不予整改的，甲方有权单方面解除合同</w:t>
      </w:r>
      <w:r>
        <w:rPr>
          <w:rFonts w:hint="eastAsia" w:ascii="仿宋_GB2312" w:eastAsia="仿宋_GB2312" w:cs="宋体"/>
          <w:bCs/>
          <w:sz w:val="32"/>
          <w:szCs w:val="32"/>
          <w:highlight w:val="none"/>
          <w:lang w:eastAsia="zh-CN"/>
        </w:rPr>
        <w:t>，</w:t>
      </w:r>
      <w:r>
        <w:rPr>
          <w:rFonts w:hint="eastAsia" w:ascii="仿宋_GB2312" w:hAnsi="宋体" w:eastAsia="仿宋_GB2312" w:cs="宋体"/>
          <w:bCs/>
          <w:sz w:val="32"/>
          <w:szCs w:val="32"/>
          <w:highlight w:val="none"/>
        </w:rPr>
        <w:t>并由</w:t>
      </w:r>
      <w:r>
        <w:rPr>
          <w:rFonts w:hint="eastAsia" w:ascii="仿宋_GB2312" w:eastAsia="仿宋_GB2312" w:cs="宋体"/>
          <w:bCs/>
          <w:sz w:val="32"/>
          <w:szCs w:val="32"/>
          <w:highlight w:val="none"/>
          <w:lang w:eastAsia="zh-CN"/>
        </w:rPr>
        <w:t>乙方全额赔偿</w:t>
      </w:r>
      <w:r>
        <w:rPr>
          <w:rFonts w:hint="eastAsia" w:ascii="仿宋_GB2312" w:hAnsi="宋体" w:eastAsia="仿宋_GB2312" w:cs="宋体"/>
          <w:bCs/>
          <w:sz w:val="32"/>
          <w:szCs w:val="32"/>
          <w:highlight w:val="none"/>
        </w:rPr>
        <w:t>给甲方造成的损失</w:t>
      </w:r>
      <w:r>
        <w:rPr>
          <w:rFonts w:hint="eastAsia" w:ascii="仿宋_GB2312" w:hAnsi="宋体" w:eastAsia="仿宋_GB2312" w:cs="宋体"/>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15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（五）除不可抗拒力外，甲乙双方单方无故终止本协议，须向守约方支付合同金额30%的违约金。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150"/>
        <w:jc w:val="both"/>
        <w:textAlignment w:val="auto"/>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eastAsia="zh-CN"/>
        </w:rPr>
        <w:t>（六）甲方不按时支付维护及维修款，按合同价每日支付千分之三的滞纳金。</w:t>
      </w:r>
    </w:p>
    <w:p>
      <w:pPr>
        <w:pStyle w:val="5"/>
        <w:spacing w:line="480" w:lineRule="auto"/>
        <w:ind w:firstLine="600" w:firstLineChars="200"/>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第九条　不可抗力</w:t>
      </w:r>
    </w:p>
    <w:p>
      <w:pPr>
        <w:pStyle w:val="5"/>
        <w:spacing w:line="480" w:lineRule="auto"/>
        <w:ind w:firstLine="600" w:firstLineChars="200"/>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在本合同履行期间，如发生不可抗力事件造成不能按照约定履行本合同的，遇</w:t>
      </w: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CDATA[HYPERLINK "http://10.1.16.15:81/claw/ApiSearch.dll?ShowRecordText?Db=con&Id=0&Gid=268440662&ShowLink=false&PreSelectId=30892008&Page=0&PageSize=20" \l "m_font_0#m_font_0"]]></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kern w:val="2"/>
          <w:sz w:val="30"/>
          <w:szCs w:val="30"/>
          <w:lang w:val="en-US" w:eastAsia="zh-CN" w:bidi="ar-SA"/>
        </w:rPr>
        <w:t>不可抗力</w:t>
      </w:r>
      <w:r>
        <w:rPr>
          <w:rFonts w:hint="eastAsia" w:ascii="仿宋_GB2312" w:hAnsi="仿宋_GB2312" w:eastAsia="仿宋_GB2312" w:cs="仿宋_GB2312"/>
          <w:kern w:val="2"/>
          <w:sz w:val="30"/>
          <w:szCs w:val="30"/>
          <w:lang w:val="en-US" w:eastAsia="zh-CN" w:bidi="ar-SA"/>
        </w:rPr>
        <w:fldChar w:fldCharType="end"/>
      </w:r>
      <w:r>
        <w:rPr>
          <w:rFonts w:hint="eastAsia" w:ascii="仿宋_GB2312" w:hAnsi="仿宋_GB2312" w:eastAsia="仿宋_GB2312" w:cs="仿宋_GB2312"/>
          <w:kern w:val="2"/>
          <w:sz w:val="30"/>
          <w:szCs w:val="30"/>
          <w:lang w:val="en-US" w:eastAsia="zh-CN" w:bidi="ar-SA"/>
        </w:rPr>
        <w:t>的一方应立即将该事件情况书面告知另一方，并应在十五日内，提供不可抗力事件证明材料及合同不能履行或者需要延期履行的书面材料，经双方认可后协商终止合同或暂时延迟合同的履行。</w:t>
      </w:r>
    </w:p>
    <w:p>
      <w:pPr>
        <w:pStyle w:val="5"/>
        <w:spacing w:line="480" w:lineRule="auto"/>
        <w:ind w:firstLine="600" w:firstLineChars="200"/>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本合同所称</w:t>
      </w:r>
      <w:r>
        <w:rPr>
          <w:rFonts w:hint="eastAsia" w:ascii="仿宋_GB2312" w:hAnsi="仿宋_GB2312" w:eastAsia="仿宋_GB2312" w:cs="仿宋_GB2312"/>
          <w:kern w:val="2"/>
          <w:sz w:val="30"/>
          <w:szCs w:val="30"/>
          <w:lang w:val="en-US" w:eastAsia="zh-CN" w:bidi="ar-SA"/>
        </w:rPr>
        <w:fldChar w:fldCharType="begin"/>
      </w:r>
      <w:r>
        <w:rPr>
          <w:rFonts w:hint="eastAsia" w:ascii="仿宋_GB2312" w:hAnsi="仿宋_GB2312" w:eastAsia="仿宋_GB2312" w:cs="仿宋_GB2312"/>
          <w:kern w:val="2"/>
          <w:sz w:val="30"/>
          <w:szCs w:val="30"/>
          <w:lang w:val="en-US" w:eastAsia="zh-CN" w:bidi="ar-SA"/>
        </w:rPr>
        <w:instrText xml:space="preserve"><![CDATA[HYPERLINK "http://10.1.16.15:81/claw/ApiSearch.dll?ShowRecordText?Db=con&Id=0&Gid=268440662&ShowLink=false&PreSelectId=30892008&Page=0&PageSize=20" \l "m_font_2#m_font_2"]]></w:instrText>
      </w:r>
      <w:r>
        <w:rPr>
          <w:rFonts w:hint="eastAsia" w:ascii="仿宋_GB2312" w:hAnsi="仿宋_GB2312" w:eastAsia="仿宋_GB2312" w:cs="仿宋_GB2312"/>
          <w:kern w:val="2"/>
          <w:sz w:val="30"/>
          <w:szCs w:val="30"/>
          <w:lang w:val="en-US" w:eastAsia="zh-CN" w:bidi="ar-SA"/>
        </w:rPr>
        <w:fldChar w:fldCharType="separate"/>
      </w:r>
      <w:r>
        <w:rPr>
          <w:rFonts w:hint="eastAsia" w:ascii="仿宋_GB2312" w:hAnsi="仿宋_GB2312" w:eastAsia="仿宋_GB2312" w:cs="仿宋_GB2312"/>
          <w:kern w:val="2"/>
          <w:sz w:val="30"/>
          <w:szCs w:val="30"/>
          <w:lang w:val="en-US" w:eastAsia="zh-CN" w:bidi="ar-SA"/>
        </w:rPr>
        <w:t>不可抗力</w:t>
      </w:r>
      <w:r>
        <w:rPr>
          <w:rFonts w:hint="eastAsia" w:ascii="仿宋_GB2312" w:hAnsi="仿宋_GB2312" w:eastAsia="仿宋_GB2312" w:cs="仿宋_GB2312"/>
          <w:kern w:val="2"/>
          <w:sz w:val="30"/>
          <w:szCs w:val="30"/>
          <w:lang w:val="en-US" w:eastAsia="zh-CN" w:bidi="ar-SA"/>
        </w:rPr>
        <w:fldChar w:fldCharType="end"/>
      </w:r>
      <w:r>
        <w:rPr>
          <w:rFonts w:hint="eastAsia" w:ascii="仿宋_GB2312" w:hAnsi="仿宋_GB2312" w:eastAsia="仿宋_GB2312" w:cs="仿宋_GB2312"/>
          <w:kern w:val="2"/>
          <w:sz w:val="30"/>
          <w:szCs w:val="30"/>
          <w:lang w:val="en-US" w:eastAsia="zh-CN" w:bidi="ar-SA"/>
        </w:rPr>
        <w:t>是指不能预见、不能避免、不能克服并对当事人造成重大影响的客观情况，包括但不限于自然灾害如洪水、地震、火灾和风暴等以及社会事件如战争、动乱、罢工、政府行为或法律规定及政策变化等。</w:t>
      </w:r>
    </w:p>
    <w:p>
      <w:pPr>
        <w:pStyle w:val="5"/>
        <w:spacing w:line="480" w:lineRule="auto"/>
        <w:ind w:firstLine="600" w:firstLineChars="200"/>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第十条  法律适用与争议解决</w:t>
      </w:r>
    </w:p>
    <w:p>
      <w:pPr>
        <w:pStyle w:val="5"/>
        <w:numPr>
          <w:ilvl w:val="0"/>
          <w:numId w:val="0"/>
        </w:numPr>
        <w:spacing w:line="480" w:lineRule="auto"/>
        <w:ind w:firstLine="600" w:firstLineChars="200"/>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本合同适用于中华人民共和国法律。</w:t>
      </w:r>
    </w:p>
    <w:p>
      <w:pPr>
        <w:pStyle w:val="5"/>
        <w:numPr>
          <w:ilvl w:val="0"/>
          <w:numId w:val="0"/>
        </w:numPr>
        <w:spacing w:line="480" w:lineRule="auto"/>
        <w:ind w:firstLine="600" w:firstLineChars="200"/>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本合同项下任何纠纷应通过友好协商予以解决。如果协商不成，任何一方均可向兰州市仲裁委员会申请仲裁。</w:t>
      </w:r>
    </w:p>
    <w:p>
      <w:pPr>
        <w:pStyle w:val="5"/>
        <w:spacing w:line="480" w:lineRule="auto"/>
        <w:ind w:firstLine="600" w:firstLineChars="200"/>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第十一条　其他</w:t>
      </w:r>
    </w:p>
    <w:p>
      <w:pPr>
        <w:pStyle w:val="5"/>
        <w:spacing w:line="480" w:lineRule="auto"/>
        <w:ind w:firstLine="450" w:firstLineChars="150"/>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 xml:space="preserve"> 本合同由甲、乙双方法人代表或者其委托代理人签字盖章后生效，本合同一式肆份，甲方叁份，乙方壹份，具有同等法律效力。本合同未尽事宜双方协商解决。</w:t>
      </w:r>
    </w:p>
    <w:p>
      <w:pPr>
        <w:pStyle w:val="5"/>
        <w:spacing w:line="480" w:lineRule="auto"/>
        <w:ind w:firstLine="450" w:firstLineChars="150"/>
        <w:rPr>
          <w:rFonts w:hint="eastAsia" w:ascii="仿宋_GB2312" w:hAnsi="仿宋_GB2312" w:eastAsia="仿宋_GB2312" w:cs="仿宋_GB2312"/>
          <w:kern w:val="2"/>
          <w:sz w:val="30"/>
          <w:szCs w:val="30"/>
          <w:lang w:val="en-US" w:eastAsia="zh-CN" w:bidi="ar-SA"/>
        </w:rPr>
      </w:pPr>
      <w:r>
        <w:rPr>
          <w:rFonts w:hint="eastAsia" w:ascii="仿宋_GB2312" w:hAnsi="仿宋_GB2312" w:eastAsia="仿宋_GB2312" w:cs="仿宋_GB2312"/>
          <w:kern w:val="2"/>
          <w:sz w:val="30"/>
          <w:szCs w:val="30"/>
          <w:lang w:val="en-US" w:eastAsia="zh-CN" w:bidi="ar-SA"/>
        </w:rPr>
        <w:t>附件：相关规定</w:t>
      </w:r>
    </w:p>
    <w:p>
      <w:pPr>
        <w:pStyle w:val="5"/>
        <w:spacing w:line="360" w:lineRule="auto"/>
        <w:rPr>
          <w:rFonts w:hint="eastAsia" w:ascii="仿宋_GB2312" w:hAnsi="仿宋_GB2312" w:eastAsia="仿宋_GB2312" w:cs="仿宋_GB2312"/>
          <w:sz w:val="30"/>
          <w:szCs w:val="30"/>
          <w:u w:val="single"/>
          <w:lang w:val="en-US" w:eastAsia="zh-CN"/>
        </w:rPr>
      </w:pPr>
      <w:r>
        <w:rPr>
          <w:rFonts w:hint="eastAsia" w:ascii="仿宋_GB2312" w:hAnsi="仿宋_GB2312" w:eastAsia="仿宋_GB2312" w:cs="仿宋_GB2312"/>
          <w:sz w:val="30"/>
          <w:szCs w:val="30"/>
        </w:rPr>
        <w:t>甲方：</w:t>
      </w:r>
      <w:r>
        <w:rPr>
          <w:rFonts w:hint="eastAsia" w:ascii="仿宋_GB2312" w:hAnsi="仿宋_GB2312" w:eastAsia="仿宋_GB2312" w:cs="仿宋_GB2312"/>
          <w:sz w:val="30"/>
          <w:szCs w:val="30"/>
          <w:u w:val="single"/>
        </w:rPr>
        <w:t>浙商银行股份有限公司</w:t>
      </w:r>
      <w:r>
        <w:rPr>
          <w:rFonts w:hint="eastAsia" w:ascii="仿宋_GB2312" w:hAnsi="仿宋_GB2312" w:eastAsia="仿宋_GB2312" w:cs="仿宋_GB2312"/>
          <w:sz w:val="30"/>
          <w:szCs w:val="30"/>
          <w:u w:val="none"/>
          <w:lang w:val="en-US" w:eastAsia="zh-CN"/>
        </w:rPr>
        <w:t xml:space="preserve">       乙方：       </w:t>
      </w:r>
      <w:r>
        <w:rPr>
          <w:rFonts w:hint="eastAsia" w:ascii="仿宋_GB2312" w:hAnsi="仿宋_GB2312" w:eastAsia="仿宋_GB2312" w:cs="仿宋_GB2312"/>
          <w:spacing w:val="-1"/>
          <w:sz w:val="30"/>
          <w:szCs w:val="30"/>
        </w:rPr>
        <w:t>（盖章</w:t>
      </w:r>
      <w:r>
        <w:rPr>
          <w:rFonts w:hint="eastAsia" w:ascii="仿宋_GB2312" w:hAnsi="仿宋_GB2312" w:eastAsia="仿宋_GB2312" w:cs="仿宋_GB2312"/>
          <w:spacing w:val="-1"/>
          <w:sz w:val="30"/>
          <w:szCs w:val="30"/>
          <w:lang w:eastAsia="zh-CN"/>
        </w:rPr>
        <w:t>）</w:t>
      </w:r>
    </w:p>
    <w:p>
      <w:pPr>
        <w:pStyle w:val="5"/>
        <w:spacing w:line="360" w:lineRule="auto"/>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single"/>
        </w:rPr>
        <w:t>兰州分行</w:t>
      </w:r>
      <w:r>
        <w:rPr>
          <w:rFonts w:hint="eastAsia" w:ascii="仿宋_GB2312" w:hAnsi="仿宋_GB2312" w:eastAsia="仿宋_GB2312" w:cs="仿宋_GB2312"/>
          <w:spacing w:val="-1"/>
          <w:sz w:val="30"/>
          <w:szCs w:val="30"/>
        </w:rPr>
        <w:t>（盖章）</w:t>
      </w:r>
    </w:p>
    <w:p>
      <w:pPr>
        <w:pStyle w:val="5"/>
        <w:spacing w:line="360" w:lineRule="auto"/>
        <w:rPr>
          <w:rFonts w:hint="default" w:ascii="仿宋_GB2312" w:hAnsi="仿宋_GB2312" w:eastAsia="仿宋_GB2312" w:cs="仿宋_GB2312"/>
          <w:sz w:val="30"/>
          <w:szCs w:val="30"/>
          <w:u w:val="single"/>
          <w:lang w:val="en-US" w:eastAsia="zh-CN"/>
        </w:rPr>
      </w:pPr>
      <w:r>
        <w:rPr>
          <w:rFonts w:hint="eastAsia" w:ascii="仿宋_GB2312" w:hAnsi="仿宋_GB2312" w:eastAsia="仿宋_GB2312" w:cs="仿宋_GB2312"/>
          <w:sz w:val="30"/>
          <w:szCs w:val="30"/>
        </w:rPr>
        <w:t>法定代表人（签章）</w:t>
      </w:r>
      <w:r>
        <w:rPr>
          <w:rFonts w:hint="eastAsia" w:ascii="仿宋_GB2312" w:hAnsi="仿宋_GB2312" w:eastAsia="仿宋_GB2312" w:cs="仿宋_GB2312"/>
          <w:sz w:val="30"/>
          <w:szCs w:val="30"/>
          <w:u w:val="none"/>
        </w:rPr>
        <w:t xml:space="preserve">      </w:t>
      </w:r>
      <w:r>
        <w:rPr>
          <w:rFonts w:hint="eastAsia" w:ascii="仿宋_GB2312" w:hAnsi="仿宋_GB2312" w:eastAsia="仿宋_GB2312" w:cs="仿宋_GB2312"/>
          <w:sz w:val="30"/>
          <w:szCs w:val="30"/>
          <w:u w:val="none"/>
          <w:lang w:val="en-US" w:eastAsia="zh-CN"/>
        </w:rPr>
        <w:t xml:space="preserve">         </w:t>
      </w:r>
      <w:r>
        <w:rPr>
          <w:rFonts w:hint="eastAsia" w:ascii="仿宋_GB2312" w:hAnsi="仿宋_GB2312" w:eastAsia="仿宋_GB2312" w:cs="仿宋_GB2312"/>
          <w:sz w:val="30"/>
          <w:szCs w:val="30"/>
          <w:u w:val="none"/>
        </w:rPr>
        <w:t xml:space="preserve">法定代表人（签章） </w:t>
      </w:r>
      <w:r>
        <w:rPr>
          <w:rFonts w:hint="eastAsia" w:ascii="仿宋_GB2312" w:hAnsi="仿宋_GB2312" w:eastAsia="仿宋_GB2312" w:cs="仿宋_GB2312"/>
          <w:sz w:val="30"/>
          <w:szCs w:val="30"/>
          <w:u w:val="none"/>
        </w:rPr>
        <w:tab/>
      </w:r>
      <w:r>
        <w:rPr>
          <w:rFonts w:hint="eastAsia" w:ascii="仿宋_GB2312" w:hAnsi="仿宋_GB2312" w:eastAsia="仿宋_GB2312" w:cs="仿宋_GB2312"/>
          <w:sz w:val="30"/>
          <w:szCs w:val="30"/>
          <w:u w:val="none"/>
          <w:lang w:val="en-US" w:eastAsia="zh-CN"/>
        </w:rPr>
        <w:t xml:space="preserve">   </w:t>
      </w:r>
    </w:p>
    <w:p>
      <w:pPr>
        <w:pStyle w:val="5"/>
        <w:spacing w:line="360" w:lineRule="auto"/>
        <w:rPr>
          <w:rFonts w:hint="eastAsia" w:ascii="仿宋_GB2312" w:hAnsi="仿宋_GB2312" w:eastAsia="仿宋_GB2312" w:cs="仿宋_GB2312"/>
          <w:sz w:val="30"/>
          <w:szCs w:val="30"/>
          <w:u w:val="none"/>
        </w:rPr>
      </w:pPr>
      <w:r>
        <w:rPr>
          <w:rFonts w:hint="eastAsia" w:ascii="仿宋_GB2312" w:hAnsi="仿宋_GB2312" w:eastAsia="仿宋_GB2312" w:cs="仿宋_GB2312"/>
          <w:sz w:val="30"/>
          <w:szCs w:val="30"/>
        </w:rPr>
        <w:t>委托代理人（签章）</w:t>
      </w:r>
      <w:r>
        <w:rPr>
          <w:rFonts w:hint="eastAsia" w:ascii="仿宋_GB2312" w:hAnsi="仿宋_GB2312" w:eastAsia="仿宋_GB2312" w:cs="仿宋_GB2312"/>
          <w:sz w:val="30"/>
          <w:szCs w:val="30"/>
          <w:u w:val="none"/>
        </w:rPr>
        <w:t xml:space="preserve">       </w:t>
      </w:r>
      <w:r>
        <w:rPr>
          <w:rFonts w:hint="eastAsia" w:ascii="仿宋_GB2312" w:hAnsi="仿宋_GB2312" w:eastAsia="仿宋_GB2312" w:cs="仿宋_GB2312"/>
          <w:sz w:val="30"/>
          <w:szCs w:val="30"/>
          <w:u w:val="none"/>
          <w:lang w:val="en-US" w:eastAsia="zh-CN"/>
        </w:rPr>
        <w:t xml:space="preserve">        </w:t>
      </w:r>
      <w:r>
        <w:rPr>
          <w:rFonts w:hint="eastAsia" w:ascii="仿宋_GB2312" w:hAnsi="仿宋_GB2312" w:eastAsia="仿宋_GB2312" w:cs="仿宋_GB2312"/>
          <w:sz w:val="30"/>
          <w:szCs w:val="30"/>
          <w:u w:val="none"/>
        </w:rPr>
        <w:t xml:space="preserve">委托代理人（签章） </w:t>
      </w:r>
    </w:p>
    <w:p>
      <w:pPr>
        <w:pStyle w:val="5"/>
        <w:spacing w:line="360" w:lineRule="auto"/>
        <w:rPr>
          <w:rFonts w:hint="eastAsia" w:ascii="仿宋_GB2312" w:hAnsi="仿宋_GB2312" w:eastAsia="仿宋_GB2312" w:cs="仿宋_GB2312"/>
          <w:sz w:val="30"/>
          <w:szCs w:val="30"/>
          <w:u w:val="none"/>
          <w:lang w:eastAsia="zh-CN"/>
        </w:rPr>
        <w:sectPr>
          <w:footerReference r:id="rId3" w:type="default"/>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z w:val="30"/>
          <w:szCs w:val="30"/>
        </w:rPr>
        <w:t>签订日期：</w:t>
      </w:r>
      <w:r>
        <w:rPr>
          <w:rFonts w:hint="eastAsia" w:ascii="仿宋_GB2312" w:hAnsi="仿宋_GB2312" w:eastAsia="仿宋_GB2312" w:cs="仿宋_GB2312"/>
          <w:sz w:val="30"/>
          <w:szCs w:val="30"/>
          <w:u w:val="none"/>
        </w:rPr>
        <w:t xml:space="preserve">               </w:t>
      </w:r>
      <w:r>
        <w:rPr>
          <w:rFonts w:hint="eastAsia" w:ascii="仿宋_GB2312" w:hAnsi="仿宋_GB2312" w:eastAsia="仿宋_GB2312" w:cs="仿宋_GB2312"/>
          <w:sz w:val="30"/>
          <w:szCs w:val="30"/>
          <w:u w:val="none"/>
          <w:lang w:val="en-US" w:eastAsia="zh-CN"/>
        </w:rPr>
        <w:t xml:space="preserve">        </w:t>
      </w:r>
      <w:r>
        <w:rPr>
          <w:rFonts w:hint="eastAsia" w:ascii="仿宋_GB2312" w:hAnsi="仿宋_GB2312" w:eastAsia="仿宋_GB2312" w:cs="仿宋_GB2312"/>
          <w:sz w:val="30"/>
          <w:szCs w:val="30"/>
          <w:u w:val="none"/>
        </w:rPr>
        <w:t>签订日期</w:t>
      </w:r>
      <w:r>
        <w:rPr>
          <w:rFonts w:hint="eastAsia" w:ascii="仿宋_GB2312" w:hAnsi="仿宋_GB2312" w:eastAsia="仿宋_GB2312" w:cs="仿宋_GB2312"/>
          <w:sz w:val="30"/>
          <w:szCs w:val="30"/>
          <w:u w:val="none"/>
          <w:lang w:eastAsia="zh-CN"/>
        </w:rPr>
        <w:t>：</w:t>
      </w:r>
    </w:p>
    <w:p>
      <w:pPr>
        <w:pStyle w:val="5"/>
        <w:spacing w:line="360" w:lineRule="auto"/>
        <w:rPr>
          <w:rFonts w:hint="eastAsia" w:ascii="黑体" w:hAnsi="黑体" w:eastAsia="黑体" w:cs="Times New Roman"/>
          <w:sz w:val="32"/>
          <w:szCs w:val="32"/>
        </w:rPr>
      </w:pP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Lucida Sans">
    <w:panose1 w:val="020B0602030504020204"/>
    <w:charset w:val="00"/>
    <w:family w:val="swiss"/>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9</w:t>
    </w:r>
    <w: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77126007"/>
    </w:sdtPr>
    <w:sdtContent>
      <w:p>
        <w:pPr>
          <w:pStyle w:val="7"/>
          <w:jc w:val="center"/>
        </w:pPr>
        <w:r>
          <w:fldChar w:fldCharType="begin"/>
        </w:r>
        <w:r>
          <w:instrText xml:space="preserve">PAGE   \* MERGEFORMAT</w:instrText>
        </w:r>
        <w:r>
          <w:fldChar w:fldCharType="separate"/>
        </w:r>
        <w:r>
          <w:rPr>
            <w:lang w:val="zh-CN"/>
          </w:rPr>
          <w:t>20</w:t>
        </w:r>
        <w:r>
          <w:fldChar w:fldCharType="end"/>
        </w:r>
      </w:p>
    </w:sdtContent>
  </w:sdt>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1"/>
      </w:pBdr>
      <w:tabs>
        <w:tab w:val="center" w:pos="4153"/>
        <w:tab w:val="right" w:pos="8306"/>
      </w:tabs>
      <w:snapToGrid w:val="0"/>
      <w:rPr>
        <w:rFonts w:asciiTheme="minorHAnsi" w:hAnsiTheme="minorHAnsi" w:eastAsiaTheme="minorEastAsia" w:cstheme="minorBidi"/>
        <w:kern w:val="2"/>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DAEA6D"/>
    <w:multiLevelType w:val="singleLevel"/>
    <w:tmpl w:val="84DAEA6D"/>
    <w:lvl w:ilvl="0" w:tentative="0">
      <w:start w:val="6"/>
      <w:numFmt w:val="chineseCounting"/>
      <w:suff w:val="nothing"/>
      <w:lvlText w:val="%1、"/>
      <w:lvlJc w:val="left"/>
      <w:rPr>
        <w:rFonts w:hint="eastAsia"/>
      </w:rPr>
    </w:lvl>
  </w:abstractNum>
  <w:abstractNum w:abstractNumId="1">
    <w:nsid w:val="A9145DA3"/>
    <w:multiLevelType w:val="singleLevel"/>
    <w:tmpl w:val="A9145DA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265"/>
    <w:rsid w:val="00033ADA"/>
    <w:rsid w:val="00042D3B"/>
    <w:rsid w:val="000659BE"/>
    <w:rsid w:val="0008093E"/>
    <w:rsid w:val="000A11D8"/>
    <w:rsid w:val="000A3203"/>
    <w:rsid w:val="000D4769"/>
    <w:rsid w:val="00106E2D"/>
    <w:rsid w:val="001111BF"/>
    <w:rsid w:val="001435A4"/>
    <w:rsid w:val="00167DB3"/>
    <w:rsid w:val="001715FB"/>
    <w:rsid w:val="001A6A4E"/>
    <w:rsid w:val="001C24F1"/>
    <w:rsid w:val="001E4EA0"/>
    <w:rsid w:val="002130C5"/>
    <w:rsid w:val="002369AC"/>
    <w:rsid w:val="002548D5"/>
    <w:rsid w:val="00265E42"/>
    <w:rsid w:val="00292F81"/>
    <w:rsid w:val="0029770C"/>
    <w:rsid w:val="002C7F8A"/>
    <w:rsid w:val="002D09E3"/>
    <w:rsid w:val="002F5ACB"/>
    <w:rsid w:val="00306406"/>
    <w:rsid w:val="00316D17"/>
    <w:rsid w:val="00317407"/>
    <w:rsid w:val="003226DE"/>
    <w:rsid w:val="00371367"/>
    <w:rsid w:val="0039349D"/>
    <w:rsid w:val="003B2E95"/>
    <w:rsid w:val="003C6ADB"/>
    <w:rsid w:val="003D0A09"/>
    <w:rsid w:val="003E22B7"/>
    <w:rsid w:val="003E79EB"/>
    <w:rsid w:val="003F17E7"/>
    <w:rsid w:val="003F3F01"/>
    <w:rsid w:val="003F69C2"/>
    <w:rsid w:val="00400D58"/>
    <w:rsid w:val="00402676"/>
    <w:rsid w:val="00407168"/>
    <w:rsid w:val="004109FB"/>
    <w:rsid w:val="00415AD3"/>
    <w:rsid w:val="00420137"/>
    <w:rsid w:val="00421D3F"/>
    <w:rsid w:val="0045730B"/>
    <w:rsid w:val="004B0248"/>
    <w:rsid w:val="004C625E"/>
    <w:rsid w:val="004D50FF"/>
    <w:rsid w:val="004F27C3"/>
    <w:rsid w:val="004F6482"/>
    <w:rsid w:val="00543232"/>
    <w:rsid w:val="00543580"/>
    <w:rsid w:val="00590963"/>
    <w:rsid w:val="005A2C1E"/>
    <w:rsid w:val="005A6008"/>
    <w:rsid w:val="005A6D56"/>
    <w:rsid w:val="005C2C7F"/>
    <w:rsid w:val="005C503C"/>
    <w:rsid w:val="005E507B"/>
    <w:rsid w:val="005F6479"/>
    <w:rsid w:val="0060081F"/>
    <w:rsid w:val="0060183B"/>
    <w:rsid w:val="00613B7A"/>
    <w:rsid w:val="006235E6"/>
    <w:rsid w:val="0062458B"/>
    <w:rsid w:val="00643660"/>
    <w:rsid w:val="00680A1C"/>
    <w:rsid w:val="00691CEC"/>
    <w:rsid w:val="006A5F1F"/>
    <w:rsid w:val="006C3D51"/>
    <w:rsid w:val="006F2C45"/>
    <w:rsid w:val="00723FFD"/>
    <w:rsid w:val="0073270D"/>
    <w:rsid w:val="00735F21"/>
    <w:rsid w:val="00737E66"/>
    <w:rsid w:val="007436EC"/>
    <w:rsid w:val="007441B8"/>
    <w:rsid w:val="007523F8"/>
    <w:rsid w:val="00764FB1"/>
    <w:rsid w:val="00782878"/>
    <w:rsid w:val="0078505D"/>
    <w:rsid w:val="007A4565"/>
    <w:rsid w:val="007B0113"/>
    <w:rsid w:val="007C37DF"/>
    <w:rsid w:val="007D1070"/>
    <w:rsid w:val="007E2406"/>
    <w:rsid w:val="007F0AA5"/>
    <w:rsid w:val="008134C3"/>
    <w:rsid w:val="0082244C"/>
    <w:rsid w:val="00831265"/>
    <w:rsid w:val="008A01B7"/>
    <w:rsid w:val="008C64AF"/>
    <w:rsid w:val="008E38E9"/>
    <w:rsid w:val="008F0D2B"/>
    <w:rsid w:val="008F7AD0"/>
    <w:rsid w:val="0090710D"/>
    <w:rsid w:val="00920D61"/>
    <w:rsid w:val="00923E01"/>
    <w:rsid w:val="009337C9"/>
    <w:rsid w:val="00943E8A"/>
    <w:rsid w:val="009569D5"/>
    <w:rsid w:val="00961303"/>
    <w:rsid w:val="009631C7"/>
    <w:rsid w:val="00967D70"/>
    <w:rsid w:val="0097569B"/>
    <w:rsid w:val="009B5CC6"/>
    <w:rsid w:val="009B60ED"/>
    <w:rsid w:val="009C2F77"/>
    <w:rsid w:val="009F173C"/>
    <w:rsid w:val="00A0242F"/>
    <w:rsid w:val="00A105BA"/>
    <w:rsid w:val="00A11771"/>
    <w:rsid w:val="00A65607"/>
    <w:rsid w:val="00A82A49"/>
    <w:rsid w:val="00A9372C"/>
    <w:rsid w:val="00AA0781"/>
    <w:rsid w:val="00AB0B7D"/>
    <w:rsid w:val="00AB3942"/>
    <w:rsid w:val="00B36F07"/>
    <w:rsid w:val="00B46213"/>
    <w:rsid w:val="00B81BB5"/>
    <w:rsid w:val="00B82ACD"/>
    <w:rsid w:val="00B83688"/>
    <w:rsid w:val="00B84F0F"/>
    <w:rsid w:val="00B9652E"/>
    <w:rsid w:val="00BB2B19"/>
    <w:rsid w:val="00BB444B"/>
    <w:rsid w:val="00BD361A"/>
    <w:rsid w:val="00BD7E8C"/>
    <w:rsid w:val="00C17259"/>
    <w:rsid w:val="00C22EC2"/>
    <w:rsid w:val="00C23C93"/>
    <w:rsid w:val="00C2720F"/>
    <w:rsid w:val="00C33672"/>
    <w:rsid w:val="00C43334"/>
    <w:rsid w:val="00C74200"/>
    <w:rsid w:val="00C91AB8"/>
    <w:rsid w:val="00C94C37"/>
    <w:rsid w:val="00CA1BAB"/>
    <w:rsid w:val="00CE667A"/>
    <w:rsid w:val="00D0219B"/>
    <w:rsid w:val="00D10B26"/>
    <w:rsid w:val="00D17B13"/>
    <w:rsid w:val="00D21436"/>
    <w:rsid w:val="00D219A3"/>
    <w:rsid w:val="00D561D4"/>
    <w:rsid w:val="00D746EB"/>
    <w:rsid w:val="00D76836"/>
    <w:rsid w:val="00D97DA7"/>
    <w:rsid w:val="00DA0363"/>
    <w:rsid w:val="00DA06B7"/>
    <w:rsid w:val="00DB22F6"/>
    <w:rsid w:val="00E07C86"/>
    <w:rsid w:val="00E22444"/>
    <w:rsid w:val="00E23524"/>
    <w:rsid w:val="00E24C86"/>
    <w:rsid w:val="00E47DE3"/>
    <w:rsid w:val="00EC2D3A"/>
    <w:rsid w:val="00EC5E2B"/>
    <w:rsid w:val="00ED14F0"/>
    <w:rsid w:val="00ED1797"/>
    <w:rsid w:val="00ED185A"/>
    <w:rsid w:val="00EE0907"/>
    <w:rsid w:val="00EF1DEA"/>
    <w:rsid w:val="00F101FF"/>
    <w:rsid w:val="00F24B62"/>
    <w:rsid w:val="00F30127"/>
    <w:rsid w:val="00F61874"/>
    <w:rsid w:val="00FA2AA7"/>
    <w:rsid w:val="00FD3022"/>
    <w:rsid w:val="02161CE5"/>
    <w:rsid w:val="031E0255"/>
    <w:rsid w:val="034C6ACD"/>
    <w:rsid w:val="039B32AB"/>
    <w:rsid w:val="05E83AEF"/>
    <w:rsid w:val="05E9713E"/>
    <w:rsid w:val="085E5F44"/>
    <w:rsid w:val="0A076774"/>
    <w:rsid w:val="0A2D006A"/>
    <w:rsid w:val="0BF73ECA"/>
    <w:rsid w:val="0C8D69A8"/>
    <w:rsid w:val="0D103D82"/>
    <w:rsid w:val="0D7F48DE"/>
    <w:rsid w:val="0DB42A82"/>
    <w:rsid w:val="0E703682"/>
    <w:rsid w:val="0E8A2F6A"/>
    <w:rsid w:val="0FBC45E1"/>
    <w:rsid w:val="10DA4D9D"/>
    <w:rsid w:val="111F505B"/>
    <w:rsid w:val="11BB57A2"/>
    <w:rsid w:val="11EB659F"/>
    <w:rsid w:val="122C675A"/>
    <w:rsid w:val="1255519F"/>
    <w:rsid w:val="125B2114"/>
    <w:rsid w:val="125F18C3"/>
    <w:rsid w:val="12B94EC3"/>
    <w:rsid w:val="12FA20AD"/>
    <w:rsid w:val="13357976"/>
    <w:rsid w:val="14BD5A42"/>
    <w:rsid w:val="15512989"/>
    <w:rsid w:val="157E75CB"/>
    <w:rsid w:val="16872A06"/>
    <w:rsid w:val="16FF3F74"/>
    <w:rsid w:val="17494CC2"/>
    <w:rsid w:val="17612378"/>
    <w:rsid w:val="19305011"/>
    <w:rsid w:val="1967625A"/>
    <w:rsid w:val="196D6F46"/>
    <w:rsid w:val="1A360113"/>
    <w:rsid w:val="1A482185"/>
    <w:rsid w:val="1B2E3D48"/>
    <w:rsid w:val="1C495264"/>
    <w:rsid w:val="1D4535BE"/>
    <w:rsid w:val="1DAC79EC"/>
    <w:rsid w:val="1DCD69FE"/>
    <w:rsid w:val="1DD4487C"/>
    <w:rsid w:val="1DE936DB"/>
    <w:rsid w:val="1E117622"/>
    <w:rsid w:val="1E675B24"/>
    <w:rsid w:val="1E937238"/>
    <w:rsid w:val="1EE81A62"/>
    <w:rsid w:val="1F105E18"/>
    <w:rsid w:val="20104D96"/>
    <w:rsid w:val="22313D0E"/>
    <w:rsid w:val="2288120A"/>
    <w:rsid w:val="22E4740B"/>
    <w:rsid w:val="22FE4BBF"/>
    <w:rsid w:val="23861948"/>
    <w:rsid w:val="23D35568"/>
    <w:rsid w:val="24751B59"/>
    <w:rsid w:val="253A6865"/>
    <w:rsid w:val="25675F6C"/>
    <w:rsid w:val="25AB4ED3"/>
    <w:rsid w:val="26466E58"/>
    <w:rsid w:val="26E62F30"/>
    <w:rsid w:val="27053E03"/>
    <w:rsid w:val="27431FFA"/>
    <w:rsid w:val="274676FC"/>
    <w:rsid w:val="279F7E09"/>
    <w:rsid w:val="27AC61A6"/>
    <w:rsid w:val="27BC2BBD"/>
    <w:rsid w:val="287F0CE7"/>
    <w:rsid w:val="295C39C8"/>
    <w:rsid w:val="2B762959"/>
    <w:rsid w:val="2B927FEA"/>
    <w:rsid w:val="2BC17555"/>
    <w:rsid w:val="2BC82763"/>
    <w:rsid w:val="2BD66347"/>
    <w:rsid w:val="2C3D6166"/>
    <w:rsid w:val="2C796A00"/>
    <w:rsid w:val="2C922947"/>
    <w:rsid w:val="2D066C09"/>
    <w:rsid w:val="2E03185A"/>
    <w:rsid w:val="2E976F23"/>
    <w:rsid w:val="2FD44507"/>
    <w:rsid w:val="304E4AA4"/>
    <w:rsid w:val="315D0B0B"/>
    <w:rsid w:val="31705BDF"/>
    <w:rsid w:val="31DD48DC"/>
    <w:rsid w:val="31F67A05"/>
    <w:rsid w:val="3265133D"/>
    <w:rsid w:val="32E821E9"/>
    <w:rsid w:val="32EC4A8E"/>
    <w:rsid w:val="330C4FCE"/>
    <w:rsid w:val="335B7CB5"/>
    <w:rsid w:val="34401B48"/>
    <w:rsid w:val="349C2C39"/>
    <w:rsid w:val="36021D2B"/>
    <w:rsid w:val="375F39F9"/>
    <w:rsid w:val="377914C1"/>
    <w:rsid w:val="38057C75"/>
    <w:rsid w:val="38653C1D"/>
    <w:rsid w:val="39C84D54"/>
    <w:rsid w:val="3A451B5D"/>
    <w:rsid w:val="3A634235"/>
    <w:rsid w:val="3AD1108C"/>
    <w:rsid w:val="3B013DDA"/>
    <w:rsid w:val="3BCC6D26"/>
    <w:rsid w:val="3D011321"/>
    <w:rsid w:val="3D63377E"/>
    <w:rsid w:val="3DAF4749"/>
    <w:rsid w:val="3E263CA9"/>
    <w:rsid w:val="3F553D74"/>
    <w:rsid w:val="412971F9"/>
    <w:rsid w:val="414B69F5"/>
    <w:rsid w:val="42193EB6"/>
    <w:rsid w:val="436F2A91"/>
    <w:rsid w:val="45082B29"/>
    <w:rsid w:val="453106C0"/>
    <w:rsid w:val="4650656B"/>
    <w:rsid w:val="46580F53"/>
    <w:rsid w:val="47147F5E"/>
    <w:rsid w:val="471559D9"/>
    <w:rsid w:val="47B5775F"/>
    <w:rsid w:val="47E22C98"/>
    <w:rsid w:val="483414AF"/>
    <w:rsid w:val="48CF0B1E"/>
    <w:rsid w:val="48D011CB"/>
    <w:rsid w:val="48D6398B"/>
    <w:rsid w:val="491C14A9"/>
    <w:rsid w:val="493B4B14"/>
    <w:rsid w:val="49D4378E"/>
    <w:rsid w:val="4B8816B8"/>
    <w:rsid w:val="4BBD537C"/>
    <w:rsid w:val="4BFF3FB2"/>
    <w:rsid w:val="4CE63DD0"/>
    <w:rsid w:val="4D09650E"/>
    <w:rsid w:val="4D2222C2"/>
    <w:rsid w:val="4DDF7F88"/>
    <w:rsid w:val="4DED63D2"/>
    <w:rsid w:val="5039786D"/>
    <w:rsid w:val="50E675EB"/>
    <w:rsid w:val="51470BD4"/>
    <w:rsid w:val="51965290"/>
    <w:rsid w:val="52131FB2"/>
    <w:rsid w:val="5231755B"/>
    <w:rsid w:val="52475FD7"/>
    <w:rsid w:val="5405384D"/>
    <w:rsid w:val="5608650C"/>
    <w:rsid w:val="57760282"/>
    <w:rsid w:val="588648D7"/>
    <w:rsid w:val="5B79121B"/>
    <w:rsid w:val="5BAD3105"/>
    <w:rsid w:val="5BD44ECF"/>
    <w:rsid w:val="5BD933D4"/>
    <w:rsid w:val="5C463223"/>
    <w:rsid w:val="5C646529"/>
    <w:rsid w:val="5DD94E5D"/>
    <w:rsid w:val="5DE4329A"/>
    <w:rsid w:val="5EAF3C67"/>
    <w:rsid w:val="5EB41EFE"/>
    <w:rsid w:val="5ED602A4"/>
    <w:rsid w:val="5F5A0A9F"/>
    <w:rsid w:val="5F991667"/>
    <w:rsid w:val="5FF90260"/>
    <w:rsid w:val="6105181D"/>
    <w:rsid w:val="6150077E"/>
    <w:rsid w:val="61932060"/>
    <w:rsid w:val="640B7E97"/>
    <w:rsid w:val="6444420E"/>
    <w:rsid w:val="644A6DDB"/>
    <w:rsid w:val="651B26E5"/>
    <w:rsid w:val="65563390"/>
    <w:rsid w:val="65ED6B48"/>
    <w:rsid w:val="65F40545"/>
    <w:rsid w:val="66C45526"/>
    <w:rsid w:val="67880147"/>
    <w:rsid w:val="685151EC"/>
    <w:rsid w:val="689D4159"/>
    <w:rsid w:val="68FC494B"/>
    <w:rsid w:val="69496237"/>
    <w:rsid w:val="69F1051B"/>
    <w:rsid w:val="6B5A7BD8"/>
    <w:rsid w:val="6B9849C1"/>
    <w:rsid w:val="6C243696"/>
    <w:rsid w:val="6C7528AD"/>
    <w:rsid w:val="6CE453C1"/>
    <w:rsid w:val="6D396F85"/>
    <w:rsid w:val="6DEA6B95"/>
    <w:rsid w:val="6F2914EE"/>
    <w:rsid w:val="706E3D83"/>
    <w:rsid w:val="70D6718B"/>
    <w:rsid w:val="70E13CE2"/>
    <w:rsid w:val="714468CA"/>
    <w:rsid w:val="71675ECD"/>
    <w:rsid w:val="71B46CB1"/>
    <w:rsid w:val="725817D0"/>
    <w:rsid w:val="728F633E"/>
    <w:rsid w:val="72932C0F"/>
    <w:rsid w:val="73866EC6"/>
    <w:rsid w:val="73BB64A0"/>
    <w:rsid w:val="73BD5E45"/>
    <w:rsid w:val="74294ED1"/>
    <w:rsid w:val="74306D34"/>
    <w:rsid w:val="74C2049A"/>
    <w:rsid w:val="752006F7"/>
    <w:rsid w:val="75371F54"/>
    <w:rsid w:val="75526621"/>
    <w:rsid w:val="75ED6914"/>
    <w:rsid w:val="77F13C4A"/>
    <w:rsid w:val="780D504C"/>
    <w:rsid w:val="787E763D"/>
    <w:rsid w:val="78B47496"/>
    <w:rsid w:val="78C223FC"/>
    <w:rsid w:val="79242D69"/>
    <w:rsid w:val="794F0A18"/>
    <w:rsid w:val="79864BE5"/>
    <w:rsid w:val="79BF0C4D"/>
    <w:rsid w:val="7BA1555F"/>
    <w:rsid w:val="7C496903"/>
    <w:rsid w:val="7D1343EA"/>
    <w:rsid w:val="7D1C624B"/>
    <w:rsid w:val="7DB821B8"/>
    <w:rsid w:val="7ECD6D31"/>
    <w:rsid w:val="7F365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widowControl w:val="0"/>
      <w:snapToGrid w:val="0"/>
      <w:spacing w:before="0" w:after="0" w:line="360" w:lineRule="auto"/>
      <w:jc w:val="left"/>
      <w:outlineLvl w:val="0"/>
    </w:pPr>
    <w:rPr>
      <w:rFonts w:ascii="仿宋_GB2312" w:hAnsi="仿宋_GB2312" w:eastAsia="仿宋_GB2312" w:cs="仿宋_GB2312"/>
      <w:b/>
      <w:bCs/>
      <w:color w:val="000000" w:themeColor="text1"/>
      <w:kern w:val="44"/>
      <w14:textFill>
        <w14:solidFill>
          <w14:schemeClr w14:val="tx1"/>
        </w14:solidFill>
      </w14:textFill>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200" w:lineRule="atLeast"/>
      <w:ind w:firstLine="301"/>
    </w:pPr>
    <w:rPr>
      <w:rFonts w:ascii="宋体" w:hAnsi="Courier New"/>
      <w:spacing w:val="-4"/>
      <w:sz w:val="18"/>
      <w:szCs w:val="20"/>
    </w:rPr>
  </w:style>
  <w:style w:type="paragraph" w:styleId="4">
    <w:name w:val="annotation text"/>
    <w:basedOn w:val="1"/>
    <w:link w:val="18"/>
    <w:semiHidden/>
    <w:unhideWhenUsed/>
    <w:qFormat/>
    <w:uiPriority w:val="99"/>
    <w:pPr>
      <w:jc w:val="left"/>
    </w:pPr>
  </w:style>
  <w:style w:type="paragraph" w:styleId="5">
    <w:name w:val="Plain Text"/>
    <w:basedOn w:val="1"/>
    <w:qFormat/>
    <w:uiPriority w:val="0"/>
    <w:rPr>
      <w:rFonts w:ascii="宋体" w:hAnsi="Courier New"/>
    </w:rPr>
  </w:style>
  <w:style w:type="paragraph" w:styleId="6">
    <w:name w:val="Balloon Text"/>
    <w:basedOn w:val="1"/>
    <w:link w:val="19"/>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20"/>
    <w:semiHidden/>
    <w:unhideWhenUsed/>
    <w:qFormat/>
    <w:uiPriority w:val="99"/>
    <w:rPr>
      <w:b/>
      <w:bCs/>
    </w:rPr>
  </w:style>
  <w:style w:type="table" w:styleId="11">
    <w:name w:val="Table Grid"/>
    <w:basedOn w:val="10"/>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annotation reference"/>
    <w:basedOn w:val="12"/>
    <w:semiHidden/>
    <w:unhideWhenUsed/>
    <w:qFormat/>
    <w:uiPriority w:val="99"/>
    <w:rPr>
      <w:sz w:val="21"/>
      <w:szCs w:val="21"/>
    </w:rPr>
  </w:style>
  <w:style w:type="paragraph" w:customStyle="1" w:styleId="15">
    <w:name w:val="index 6"/>
    <w:basedOn w:val="1"/>
    <w:next w:val="1"/>
    <w:qFormat/>
    <w:uiPriority w:val="0"/>
    <w:pPr>
      <w:ind w:left="1000" w:leftChars="1000"/>
    </w:pPr>
  </w:style>
  <w:style w:type="character" w:customStyle="1" w:styleId="16">
    <w:name w:val="页眉 字符"/>
    <w:basedOn w:val="12"/>
    <w:link w:val="8"/>
    <w:qFormat/>
    <w:uiPriority w:val="99"/>
    <w:rPr>
      <w:sz w:val="18"/>
      <w:szCs w:val="18"/>
    </w:rPr>
  </w:style>
  <w:style w:type="character" w:customStyle="1" w:styleId="17">
    <w:name w:val="页脚 字符"/>
    <w:basedOn w:val="12"/>
    <w:link w:val="7"/>
    <w:qFormat/>
    <w:uiPriority w:val="99"/>
    <w:rPr>
      <w:sz w:val="18"/>
      <w:szCs w:val="18"/>
    </w:rPr>
  </w:style>
  <w:style w:type="character" w:customStyle="1" w:styleId="18">
    <w:name w:val="批注文字 字符"/>
    <w:basedOn w:val="12"/>
    <w:link w:val="4"/>
    <w:semiHidden/>
    <w:qFormat/>
    <w:uiPriority w:val="99"/>
  </w:style>
  <w:style w:type="character" w:customStyle="1" w:styleId="19">
    <w:name w:val="批注框文本 字符"/>
    <w:basedOn w:val="12"/>
    <w:link w:val="6"/>
    <w:semiHidden/>
    <w:qFormat/>
    <w:uiPriority w:val="99"/>
    <w:rPr>
      <w:sz w:val="18"/>
      <w:szCs w:val="18"/>
    </w:rPr>
  </w:style>
  <w:style w:type="character" w:customStyle="1" w:styleId="20">
    <w:name w:val="批注主题 字符"/>
    <w:basedOn w:val="18"/>
    <w:link w:val="9"/>
    <w:semiHidden/>
    <w:qFormat/>
    <w:uiPriority w:val="99"/>
    <w:rPr>
      <w:b/>
      <w:bCs/>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reader-word-layer"/>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header1.xml" Type="http://schemas.openxmlformats.org/officeDocument/2006/relationships/header"/><Relationship Id="rId5" Target="footer2.xml" Type="http://schemas.openxmlformats.org/officeDocument/2006/relationships/footer"/><Relationship Id="rId6" Target="theme/theme1.xml" Type="http://schemas.openxmlformats.org/officeDocument/2006/relationships/theme"/><Relationship Id="rId7" Target="numbering.xml" Type="http://schemas.openxmlformats.org/officeDocument/2006/relationships/numbering"/><Relationship Id="rId8"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490</Words>
  <Characters>2793</Characters>
  <Lines>23</Lines>
  <Paragraphs>6</Paragraphs>
  <TotalTime>213</TotalTime>
  <ScaleCrop>false</ScaleCrop>
  <LinksUpToDate>false</LinksUpToDate>
  <CharactersWithSpaces>3277</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cp:contentStatus>浙商银行*浙商银行兰州分行本级及兰内支行弱电设施设备维护保养服务采购项目供应商寻源公示*aqbwb_lz@czbank.com*1479638122@QQ.com * * *2026-08-28 15:35:50;</cp:contentStatus>
  <dcterms:created xsi:type="dcterms:W3CDTF">2023-09-12T12:39:00Z</dcterms:created>
  <dc:creator>姜烨</dc:creator>
  <cp:lastModifiedBy>潘永忠</cp:lastModifiedBy>
  <dcterms:modified xsi:type="dcterms:W3CDTF">2026-08-28T07:28:49Z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07F5D47DCCAD4AF8ACB3F4248F30A8CB</vt:lpwstr>
  </property>
</Properties>
</file>