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5000" w:type="pct"/>
        <w:tblInd w:w="0" w:type="dxa"/>
        <w:tblLayout w:type="fixed"/>
        <w:tblCellMar>
          <w:top w:w="0" w:type="dxa"/>
          <w:left w:w="108" w:type="dxa"/>
          <w:bottom w:w="0" w:type="dxa"/>
          <w:right w:w="108" w:type="dxa"/>
        </w:tblCellMar>
      </w:tblPr>
      <w:tblGrid>
        <w:gridCol w:w="1725"/>
        <w:gridCol w:w="1342"/>
        <w:gridCol w:w="1151"/>
        <w:gridCol w:w="1332"/>
        <w:gridCol w:w="1605"/>
        <w:gridCol w:w="1440"/>
        <w:gridCol w:w="1470"/>
        <w:gridCol w:w="2040"/>
        <w:gridCol w:w="2069"/>
      </w:tblGrid>
      <w:tr w14:paraId="151584A7">
        <w:tblPrEx>
          <w:tblCellMar>
            <w:top w:w="0" w:type="dxa"/>
            <w:left w:w="108" w:type="dxa"/>
            <w:bottom w:w="0" w:type="dxa"/>
            <w:right w:w="108" w:type="dxa"/>
          </w:tblCellMar>
        </w:tblPrEx>
        <w:trPr>
          <w:trHeight w:val="600" w:hRule="atLeast"/>
        </w:trPr>
        <w:tc>
          <w:tcPr>
            <w:tcW w:w="5000" w:type="pct"/>
            <w:gridSpan w:val="9"/>
            <w:tcBorders>
              <w:top w:val="nil"/>
              <w:left w:val="nil"/>
              <w:bottom w:val="nil"/>
              <w:right w:val="nil"/>
            </w:tcBorders>
            <w:shd w:val="clear" w:color="auto" w:fill="auto"/>
            <w:noWrap/>
            <w:vAlign w:val="center"/>
          </w:tcPr>
          <w:p w14:paraId="5AFA03CE">
            <w:pPr>
              <w:widowControl/>
              <w:jc w:val="center"/>
              <w:rPr>
                <w:rFonts w:hint="eastAsia" w:eastAsia="宋体"/>
                <w:sz w:val="30"/>
                <w:szCs w:val="30"/>
                <w:lang w:val="en-US" w:eastAsia="zh-CN"/>
              </w:rPr>
            </w:pPr>
            <w:r>
              <w:rPr>
                <w:rFonts w:hint="eastAsia"/>
                <w:sz w:val="30"/>
                <w:szCs w:val="30"/>
                <w:lang w:eastAsia="zh-CN"/>
              </w:rPr>
              <w:t>浙商银行兰州分行辖内网点弱电维保设备清单</w:t>
            </w:r>
          </w:p>
        </w:tc>
      </w:tr>
      <w:tr w14:paraId="721A73DE">
        <w:tblPrEx>
          <w:tblCellMar>
            <w:top w:w="0" w:type="dxa"/>
            <w:left w:w="108" w:type="dxa"/>
            <w:bottom w:w="0" w:type="dxa"/>
            <w:right w:w="108" w:type="dxa"/>
          </w:tblCellMar>
        </w:tblPrEx>
        <w:trPr>
          <w:trHeight w:val="439" w:hRule="atLeast"/>
        </w:trPr>
        <w:tc>
          <w:tcPr>
            <w:tcW w:w="60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27197E">
            <w:pPr>
              <w:widowControl/>
              <w:jc w:val="center"/>
              <w:rPr>
                <w:rFonts w:hint="eastAsia"/>
                <w:sz w:val="24"/>
                <w:szCs w:val="24"/>
                <w:lang w:eastAsia="zh-CN"/>
              </w:rPr>
            </w:pPr>
            <w:r>
              <w:rPr>
                <w:rFonts w:hint="eastAsia"/>
                <w:sz w:val="24"/>
                <w:szCs w:val="24"/>
                <w:lang w:eastAsia="zh-CN"/>
              </w:rPr>
              <w:t>单位名称</w:t>
            </w:r>
          </w:p>
        </w:tc>
        <w:tc>
          <w:tcPr>
            <w:tcW w:w="473" w:type="pct"/>
            <w:tcBorders>
              <w:top w:val="single" w:color="auto" w:sz="4" w:space="0"/>
              <w:left w:val="nil"/>
              <w:bottom w:val="single" w:color="auto" w:sz="4" w:space="0"/>
              <w:right w:val="single" w:color="auto" w:sz="4" w:space="0"/>
            </w:tcBorders>
            <w:shd w:val="clear" w:color="auto" w:fill="auto"/>
            <w:noWrap/>
            <w:vAlign w:val="center"/>
          </w:tcPr>
          <w:p w14:paraId="0872EFFC">
            <w:pPr>
              <w:widowControl/>
              <w:jc w:val="center"/>
              <w:rPr>
                <w:rFonts w:hint="eastAsia"/>
                <w:sz w:val="24"/>
                <w:szCs w:val="24"/>
                <w:lang w:eastAsia="zh-CN"/>
              </w:rPr>
            </w:pPr>
            <w:r>
              <w:rPr>
                <w:rFonts w:hint="eastAsia"/>
                <w:sz w:val="24"/>
                <w:szCs w:val="24"/>
                <w:lang w:eastAsia="zh-CN"/>
              </w:rPr>
              <w:t>摄像机</w:t>
            </w:r>
          </w:p>
        </w:tc>
        <w:tc>
          <w:tcPr>
            <w:tcW w:w="406" w:type="pct"/>
            <w:tcBorders>
              <w:top w:val="single" w:color="auto" w:sz="4" w:space="0"/>
              <w:left w:val="nil"/>
              <w:bottom w:val="single" w:color="auto" w:sz="4" w:space="0"/>
              <w:right w:val="single" w:color="auto" w:sz="4" w:space="0"/>
            </w:tcBorders>
            <w:shd w:val="clear" w:color="auto" w:fill="auto"/>
            <w:noWrap/>
            <w:vAlign w:val="center"/>
          </w:tcPr>
          <w:p w14:paraId="5963B3F6">
            <w:pPr>
              <w:widowControl/>
              <w:jc w:val="center"/>
              <w:rPr>
                <w:rFonts w:hint="eastAsia"/>
                <w:sz w:val="24"/>
                <w:szCs w:val="24"/>
                <w:lang w:eastAsia="zh-CN"/>
              </w:rPr>
            </w:pPr>
            <w:r>
              <w:rPr>
                <w:rFonts w:hint="eastAsia"/>
                <w:sz w:val="24"/>
                <w:szCs w:val="24"/>
                <w:lang w:eastAsia="zh-CN"/>
              </w:rPr>
              <w:t>录像机</w:t>
            </w:r>
          </w:p>
        </w:tc>
        <w:tc>
          <w:tcPr>
            <w:tcW w:w="469" w:type="pct"/>
            <w:tcBorders>
              <w:top w:val="single" w:color="auto" w:sz="4" w:space="0"/>
              <w:left w:val="nil"/>
              <w:bottom w:val="single" w:color="auto" w:sz="4" w:space="0"/>
              <w:right w:val="single" w:color="auto" w:sz="4" w:space="0"/>
            </w:tcBorders>
            <w:shd w:val="clear" w:color="auto" w:fill="auto"/>
            <w:noWrap/>
            <w:vAlign w:val="center"/>
          </w:tcPr>
          <w:p w14:paraId="2039D440">
            <w:pPr>
              <w:widowControl/>
              <w:jc w:val="center"/>
              <w:rPr>
                <w:rFonts w:hint="eastAsia"/>
                <w:sz w:val="24"/>
                <w:szCs w:val="24"/>
                <w:lang w:eastAsia="zh-CN"/>
              </w:rPr>
            </w:pPr>
            <w:r>
              <w:rPr>
                <w:rFonts w:hint="eastAsia"/>
                <w:sz w:val="24"/>
                <w:szCs w:val="24"/>
                <w:lang w:eastAsia="zh-CN"/>
              </w:rPr>
              <w:t>报警防区</w:t>
            </w:r>
          </w:p>
        </w:tc>
        <w:tc>
          <w:tcPr>
            <w:tcW w:w="566" w:type="pct"/>
            <w:tcBorders>
              <w:top w:val="single" w:color="auto" w:sz="4" w:space="0"/>
              <w:left w:val="nil"/>
              <w:bottom w:val="single" w:color="auto" w:sz="4" w:space="0"/>
              <w:right w:val="single" w:color="auto" w:sz="4" w:space="0"/>
            </w:tcBorders>
            <w:shd w:val="clear" w:color="auto" w:fill="auto"/>
            <w:noWrap/>
            <w:vAlign w:val="center"/>
          </w:tcPr>
          <w:p w14:paraId="1D041264">
            <w:pPr>
              <w:widowControl/>
              <w:jc w:val="center"/>
              <w:rPr>
                <w:rFonts w:hint="eastAsia"/>
                <w:sz w:val="24"/>
                <w:szCs w:val="24"/>
                <w:lang w:eastAsia="zh-CN"/>
              </w:rPr>
            </w:pPr>
            <w:r>
              <w:rPr>
                <w:rFonts w:hint="eastAsia"/>
                <w:sz w:val="24"/>
                <w:szCs w:val="24"/>
                <w:lang w:eastAsia="zh-CN"/>
              </w:rPr>
              <w:t>门禁设备</w:t>
            </w:r>
          </w:p>
        </w:tc>
        <w:tc>
          <w:tcPr>
            <w:tcW w:w="507" w:type="pct"/>
            <w:tcBorders>
              <w:top w:val="single" w:color="auto" w:sz="4" w:space="0"/>
              <w:left w:val="nil"/>
              <w:bottom w:val="single" w:color="auto" w:sz="4" w:space="0"/>
              <w:right w:val="single" w:color="auto" w:sz="4" w:space="0"/>
            </w:tcBorders>
            <w:shd w:val="clear" w:color="auto" w:fill="auto"/>
            <w:noWrap/>
            <w:vAlign w:val="center"/>
          </w:tcPr>
          <w:p w14:paraId="48A8EF29">
            <w:pPr>
              <w:widowControl/>
              <w:jc w:val="center"/>
              <w:rPr>
                <w:rFonts w:hint="eastAsia"/>
                <w:sz w:val="24"/>
                <w:szCs w:val="24"/>
                <w:lang w:eastAsia="zh-CN"/>
              </w:rPr>
            </w:pPr>
            <w:r>
              <w:rPr>
                <w:rFonts w:hint="eastAsia"/>
                <w:sz w:val="24"/>
                <w:szCs w:val="24"/>
                <w:lang w:eastAsia="zh-CN"/>
              </w:rPr>
              <w:t>语音对讲</w:t>
            </w:r>
          </w:p>
        </w:tc>
        <w:tc>
          <w:tcPr>
            <w:tcW w:w="518" w:type="pct"/>
            <w:tcBorders>
              <w:top w:val="single" w:color="auto" w:sz="4" w:space="0"/>
              <w:left w:val="nil"/>
              <w:bottom w:val="single" w:color="auto" w:sz="4" w:space="0"/>
              <w:right w:val="single" w:color="auto" w:sz="4" w:space="0"/>
            </w:tcBorders>
            <w:shd w:val="clear" w:color="auto" w:fill="auto"/>
            <w:noWrap/>
            <w:vAlign w:val="center"/>
          </w:tcPr>
          <w:p w14:paraId="4DFCF103">
            <w:pPr>
              <w:widowControl/>
              <w:jc w:val="center"/>
              <w:rPr>
                <w:rFonts w:hint="eastAsia"/>
                <w:sz w:val="24"/>
                <w:szCs w:val="24"/>
                <w:lang w:eastAsia="zh-CN"/>
              </w:rPr>
            </w:pPr>
            <w:r>
              <w:rPr>
                <w:rFonts w:hint="eastAsia"/>
                <w:sz w:val="24"/>
                <w:szCs w:val="24"/>
                <w:lang w:eastAsia="zh-CN"/>
              </w:rPr>
              <w:t>UPS系统</w:t>
            </w:r>
          </w:p>
        </w:tc>
        <w:tc>
          <w:tcPr>
            <w:tcW w:w="719" w:type="pct"/>
            <w:tcBorders>
              <w:top w:val="single" w:color="auto" w:sz="4" w:space="0"/>
              <w:left w:val="nil"/>
              <w:bottom w:val="single" w:color="auto" w:sz="4" w:space="0"/>
              <w:right w:val="single" w:color="auto" w:sz="4" w:space="0"/>
            </w:tcBorders>
            <w:shd w:val="clear" w:color="auto" w:fill="auto"/>
            <w:noWrap/>
            <w:vAlign w:val="center"/>
          </w:tcPr>
          <w:p w14:paraId="092BCECB">
            <w:pPr>
              <w:widowControl/>
              <w:jc w:val="center"/>
              <w:rPr>
                <w:rFonts w:hint="eastAsia"/>
                <w:sz w:val="24"/>
                <w:szCs w:val="24"/>
                <w:lang w:eastAsia="zh-CN"/>
              </w:rPr>
            </w:pPr>
            <w:r>
              <w:rPr>
                <w:rFonts w:hint="eastAsia"/>
                <w:sz w:val="24"/>
                <w:szCs w:val="24"/>
                <w:lang w:eastAsia="zh-CN"/>
              </w:rPr>
              <w:t>网络系统</w:t>
            </w:r>
          </w:p>
        </w:tc>
        <w:tc>
          <w:tcPr>
            <w:tcW w:w="729" w:type="pct"/>
            <w:tcBorders>
              <w:top w:val="single" w:color="auto" w:sz="4" w:space="0"/>
              <w:left w:val="nil"/>
              <w:bottom w:val="single" w:color="auto" w:sz="4" w:space="0"/>
              <w:right w:val="single" w:color="auto" w:sz="4" w:space="0"/>
            </w:tcBorders>
            <w:shd w:val="clear" w:color="auto" w:fill="auto"/>
            <w:noWrap/>
            <w:vAlign w:val="center"/>
          </w:tcPr>
          <w:p w14:paraId="0E78425D">
            <w:pPr>
              <w:widowControl/>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备注</w:t>
            </w:r>
          </w:p>
        </w:tc>
      </w:tr>
      <w:tr w14:paraId="7F315C89">
        <w:tblPrEx>
          <w:tblCellMar>
            <w:top w:w="0" w:type="dxa"/>
            <w:left w:w="108" w:type="dxa"/>
            <w:bottom w:w="0" w:type="dxa"/>
            <w:right w:w="108" w:type="dxa"/>
          </w:tblCellMar>
        </w:tblPrEx>
        <w:trPr>
          <w:trHeight w:val="960" w:hRule="atLeast"/>
        </w:trPr>
        <w:tc>
          <w:tcPr>
            <w:tcW w:w="608" w:type="pct"/>
            <w:tcBorders>
              <w:top w:val="nil"/>
              <w:left w:val="single" w:color="auto" w:sz="4" w:space="0"/>
              <w:bottom w:val="single" w:color="auto" w:sz="4" w:space="0"/>
              <w:right w:val="single" w:color="auto" w:sz="4" w:space="0"/>
            </w:tcBorders>
            <w:shd w:val="clear" w:color="auto" w:fill="auto"/>
            <w:noWrap/>
            <w:vAlign w:val="center"/>
          </w:tcPr>
          <w:p w14:paraId="08CF80FA">
            <w:pPr>
              <w:widowControl/>
              <w:jc w:val="center"/>
              <w:rPr>
                <w:rFonts w:hint="eastAsia"/>
                <w:sz w:val="24"/>
                <w:szCs w:val="24"/>
                <w:lang w:eastAsia="zh-CN"/>
              </w:rPr>
            </w:pPr>
            <w:r>
              <w:rPr>
                <w:rFonts w:hint="eastAsia"/>
                <w:sz w:val="24"/>
                <w:szCs w:val="24"/>
                <w:lang w:eastAsia="zh-CN"/>
              </w:rPr>
              <w:t>兰州分行</w:t>
            </w:r>
          </w:p>
        </w:tc>
        <w:tc>
          <w:tcPr>
            <w:tcW w:w="473" w:type="pct"/>
            <w:tcBorders>
              <w:top w:val="nil"/>
              <w:left w:val="nil"/>
              <w:bottom w:val="single" w:color="auto" w:sz="4" w:space="0"/>
              <w:right w:val="single" w:color="auto" w:sz="4" w:space="0"/>
            </w:tcBorders>
            <w:shd w:val="clear" w:color="auto" w:fill="auto"/>
            <w:noWrap/>
            <w:vAlign w:val="center"/>
          </w:tcPr>
          <w:p w14:paraId="34994443">
            <w:pPr>
              <w:widowControl/>
              <w:jc w:val="center"/>
              <w:rPr>
                <w:rFonts w:hint="eastAsia"/>
                <w:sz w:val="24"/>
                <w:szCs w:val="24"/>
                <w:lang w:eastAsia="zh-CN"/>
              </w:rPr>
            </w:pPr>
            <w:r>
              <w:rPr>
                <w:rFonts w:hint="eastAsia"/>
                <w:sz w:val="24"/>
                <w:szCs w:val="24"/>
                <w:lang w:eastAsia="zh-CN"/>
              </w:rPr>
              <w:t>336</w:t>
            </w:r>
          </w:p>
        </w:tc>
        <w:tc>
          <w:tcPr>
            <w:tcW w:w="406" w:type="pct"/>
            <w:tcBorders>
              <w:top w:val="nil"/>
              <w:left w:val="nil"/>
              <w:bottom w:val="single" w:color="auto" w:sz="4" w:space="0"/>
              <w:right w:val="single" w:color="auto" w:sz="4" w:space="0"/>
            </w:tcBorders>
            <w:shd w:val="clear" w:color="auto" w:fill="auto"/>
            <w:noWrap/>
            <w:vAlign w:val="center"/>
          </w:tcPr>
          <w:p w14:paraId="1B9DF7E2">
            <w:pPr>
              <w:widowControl/>
              <w:jc w:val="center"/>
              <w:rPr>
                <w:rFonts w:hint="eastAsia"/>
                <w:sz w:val="24"/>
                <w:szCs w:val="24"/>
                <w:lang w:eastAsia="zh-CN"/>
              </w:rPr>
            </w:pPr>
            <w:r>
              <w:rPr>
                <w:rFonts w:hint="eastAsia"/>
                <w:sz w:val="24"/>
                <w:szCs w:val="24"/>
                <w:lang w:eastAsia="zh-CN"/>
              </w:rPr>
              <w:t>2</w:t>
            </w:r>
            <w:r>
              <w:rPr>
                <w:rFonts w:hint="eastAsia"/>
                <w:sz w:val="24"/>
                <w:szCs w:val="24"/>
                <w:lang w:val="en-US" w:eastAsia="zh-CN"/>
              </w:rPr>
              <w:t>9</w:t>
            </w:r>
            <w:bookmarkStart w:id="0" w:name="_GoBack"/>
            <w:bookmarkEnd w:id="0"/>
            <w:r>
              <w:rPr>
                <w:rFonts w:hint="eastAsia"/>
                <w:sz w:val="24"/>
                <w:szCs w:val="24"/>
                <w:lang w:eastAsia="zh-CN"/>
              </w:rPr>
              <w:t>台</w:t>
            </w:r>
          </w:p>
        </w:tc>
        <w:tc>
          <w:tcPr>
            <w:tcW w:w="469" w:type="pct"/>
            <w:tcBorders>
              <w:top w:val="nil"/>
              <w:left w:val="nil"/>
              <w:bottom w:val="single" w:color="auto" w:sz="4" w:space="0"/>
              <w:right w:val="single" w:color="auto" w:sz="4" w:space="0"/>
            </w:tcBorders>
            <w:shd w:val="clear" w:color="auto" w:fill="auto"/>
            <w:noWrap/>
            <w:vAlign w:val="center"/>
          </w:tcPr>
          <w:p w14:paraId="7B1D9E89">
            <w:pPr>
              <w:widowControl/>
              <w:jc w:val="center"/>
              <w:rPr>
                <w:rFonts w:hint="eastAsia"/>
                <w:sz w:val="24"/>
                <w:szCs w:val="24"/>
                <w:lang w:eastAsia="zh-CN"/>
              </w:rPr>
            </w:pPr>
            <w:r>
              <w:rPr>
                <w:rFonts w:hint="eastAsia"/>
                <w:sz w:val="24"/>
                <w:szCs w:val="24"/>
                <w:lang w:val="en-US" w:eastAsia="zh-CN"/>
              </w:rPr>
              <w:t>9</w:t>
            </w:r>
            <w:r>
              <w:rPr>
                <w:rFonts w:hint="eastAsia"/>
                <w:sz w:val="24"/>
                <w:szCs w:val="24"/>
                <w:lang w:eastAsia="zh-CN"/>
              </w:rPr>
              <w:t>2</w:t>
            </w:r>
          </w:p>
        </w:tc>
        <w:tc>
          <w:tcPr>
            <w:tcW w:w="566" w:type="pct"/>
            <w:tcBorders>
              <w:top w:val="nil"/>
              <w:left w:val="nil"/>
              <w:bottom w:val="single" w:color="auto" w:sz="4" w:space="0"/>
              <w:right w:val="single" w:color="auto" w:sz="4" w:space="0"/>
            </w:tcBorders>
            <w:shd w:val="clear" w:color="auto" w:fill="auto"/>
            <w:noWrap/>
            <w:vAlign w:val="center"/>
          </w:tcPr>
          <w:p w14:paraId="777AEBFA">
            <w:pPr>
              <w:widowControl/>
              <w:jc w:val="center"/>
              <w:rPr>
                <w:rFonts w:hint="eastAsia"/>
                <w:sz w:val="24"/>
                <w:szCs w:val="24"/>
                <w:lang w:eastAsia="zh-CN"/>
              </w:rPr>
            </w:pPr>
            <w:r>
              <w:rPr>
                <w:rFonts w:hint="eastAsia"/>
                <w:sz w:val="24"/>
                <w:szCs w:val="24"/>
                <w:lang w:eastAsia="zh-CN"/>
              </w:rPr>
              <w:t>4</w:t>
            </w:r>
            <w:r>
              <w:rPr>
                <w:rFonts w:hint="eastAsia"/>
                <w:sz w:val="24"/>
                <w:szCs w:val="24"/>
                <w:lang w:val="en-US" w:eastAsia="zh-CN"/>
              </w:rPr>
              <w:t>9</w:t>
            </w:r>
            <w:r>
              <w:rPr>
                <w:rFonts w:hint="eastAsia"/>
                <w:sz w:val="24"/>
                <w:szCs w:val="24"/>
                <w:lang w:eastAsia="zh-CN"/>
              </w:rPr>
              <w:t>套</w:t>
            </w:r>
          </w:p>
        </w:tc>
        <w:tc>
          <w:tcPr>
            <w:tcW w:w="507" w:type="pct"/>
            <w:tcBorders>
              <w:top w:val="nil"/>
              <w:left w:val="nil"/>
              <w:bottom w:val="single" w:color="auto" w:sz="4" w:space="0"/>
              <w:right w:val="single" w:color="auto" w:sz="4" w:space="0"/>
            </w:tcBorders>
            <w:shd w:val="clear" w:color="auto" w:fill="auto"/>
            <w:noWrap/>
            <w:vAlign w:val="center"/>
          </w:tcPr>
          <w:p w14:paraId="666E7768">
            <w:pPr>
              <w:widowControl/>
              <w:jc w:val="center"/>
              <w:rPr>
                <w:rFonts w:hint="eastAsia"/>
                <w:sz w:val="24"/>
                <w:szCs w:val="24"/>
                <w:lang w:eastAsia="zh-CN"/>
              </w:rPr>
            </w:pPr>
            <w:r>
              <w:rPr>
                <w:rFonts w:hint="eastAsia"/>
                <w:sz w:val="24"/>
                <w:szCs w:val="24"/>
                <w:lang w:eastAsia="zh-CN"/>
              </w:rPr>
              <w:t>1套</w:t>
            </w:r>
          </w:p>
        </w:tc>
        <w:tc>
          <w:tcPr>
            <w:tcW w:w="518" w:type="pct"/>
            <w:tcBorders>
              <w:top w:val="nil"/>
              <w:left w:val="nil"/>
              <w:bottom w:val="single" w:color="auto" w:sz="4" w:space="0"/>
              <w:right w:val="single" w:color="auto" w:sz="4" w:space="0"/>
            </w:tcBorders>
            <w:shd w:val="clear" w:color="auto" w:fill="auto"/>
            <w:noWrap/>
            <w:vAlign w:val="center"/>
          </w:tcPr>
          <w:p w14:paraId="4C8FEA6E">
            <w:pPr>
              <w:widowControl/>
              <w:jc w:val="center"/>
              <w:rPr>
                <w:rFonts w:hint="eastAsia"/>
                <w:sz w:val="24"/>
                <w:szCs w:val="24"/>
                <w:lang w:eastAsia="zh-CN"/>
              </w:rPr>
            </w:pPr>
            <w:r>
              <w:rPr>
                <w:rFonts w:hint="eastAsia"/>
                <w:sz w:val="24"/>
                <w:szCs w:val="24"/>
                <w:lang w:eastAsia="zh-CN"/>
              </w:rPr>
              <w:t>1套</w:t>
            </w:r>
          </w:p>
        </w:tc>
        <w:tc>
          <w:tcPr>
            <w:tcW w:w="719" w:type="pct"/>
            <w:tcBorders>
              <w:top w:val="nil"/>
              <w:left w:val="nil"/>
              <w:bottom w:val="single" w:color="auto" w:sz="4" w:space="0"/>
              <w:right w:val="single" w:color="auto" w:sz="4" w:space="0"/>
            </w:tcBorders>
            <w:shd w:val="clear" w:color="auto" w:fill="auto"/>
            <w:noWrap/>
            <w:vAlign w:val="center"/>
          </w:tcPr>
          <w:p w14:paraId="4E4E01C7">
            <w:pPr>
              <w:widowControl/>
              <w:jc w:val="center"/>
              <w:rPr>
                <w:rFonts w:hint="eastAsia"/>
                <w:sz w:val="24"/>
                <w:szCs w:val="24"/>
                <w:lang w:eastAsia="zh-CN"/>
              </w:rPr>
            </w:pPr>
            <w:r>
              <w:rPr>
                <w:rFonts w:hint="eastAsia"/>
                <w:sz w:val="24"/>
                <w:szCs w:val="24"/>
                <w:lang w:eastAsia="zh-CN"/>
              </w:rPr>
              <w:t>约1800信息点</w:t>
            </w:r>
          </w:p>
        </w:tc>
        <w:tc>
          <w:tcPr>
            <w:tcW w:w="729" w:type="pct"/>
            <w:tcBorders>
              <w:top w:val="nil"/>
              <w:left w:val="nil"/>
              <w:bottom w:val="single" w:color="auto" w:sz="4" w:space="0"/>
              <w:right w:val="single" w:color="auto" w:sz="4" w:space="0"/>
            </w:tcBorders>
            <w:shd w:val="clear" w:color="auto" w:fill="auto"/>
            <w:noWrap w:val="0"/>
            <w:vAlign w:val="center"/>
          </w:tcPr>
          <w:p w14:paraId="557F0727">
            <w:pPr>
              <w:widowControl/>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包含网络交换机、机架式电源、STS、服务器、电视墙、监控平台等</w:t>
            </w:r>
          </w:p>
        </w:tc>
      </w:tr>
      <w:tr w14:paraId="06893AA1">
        <w:tblPrEx>
          <w:tblCellMar>
            <w:top w:w="0" w:type="dxa"/>
            <w:left w:w="108" w:type="dxa"/>
            <w:bottom w:w="0" w:type="dxa"/>
            <w:right w:w="108" w:type="dxa"/>
          </w:tblCellMar>
        </w:tblPrEx>
        <w:trPr>
          <w:trHeight w:val="859" w:hRule="atLeast"/>
        </w:trPr>
        <w:tc>
          <w:tcPr>
            <w:tcW w:w="608" w:type="pct"/>
            <w:tcBorders>
              <w:top w:val="nil"/>
              <w:left w:val="single" w:color="auto" w:sz="4" w:space="0"/>
              <w:bottom w:val="single" w:color="auto" w:sz="4" w:space="0"/>
              <w:right w:val="single" w:color="auto" w:sz="4" w:space="0"/>
            </w:tcBorders>
            <w:shd w:val="clear" w:color="auto" w:fill="auto"/>
            <w:noWrap/>
            <w:vAlign w:val="center"/>
          </w:tcPr>
          <w:p w14:paraId="65D4CD1B">
            <w:pPr>
              <w:widowControl/>
              <w:jc w:val="center"/>
              <w:rPr>
                <w:rFonts w:hint="eastAsia"/>
                <w:sz w:val="24"/>
                <w:szCs w:val="24"/>
                <w:lang w:eastAsia="zh-CN"/>
              </w:rPr>
            </w:pPr>
            <w:r>
              <w:rPr>
                <w:rFonts w:hint="eastAsia"/>
                <w:sz w:val="24"/>
                <w:szCs w:val="24"/>
                <w:lang w:eastAsia="zh-CN"/>
              </w:rPr>
              <w:t>东部支行</w:t>
            </w:r>
          </w:p>
        </w:tc>
        <w:tc>
          <w:tcPr>
            <w:tcW w:w="473" w:type="pct"/>
            <w:tcBorders>
              <w:top w:val="nil"/>
              <w:left w:val="nil"/>
              <w:bottom w:val="single" w:color="auto" w:sz="4" w:space="0"/>
              <w:right w:val="single" w:color="auto" w:sz="4" w:space="0"/>
            </w:tcBorders>
            <w:shd w:val="clear" w:color="auto" w:fill="auto"/>
            <w:noWrap/>
            <w:vAlign w:val="center"/>
          </w:tcPr>
          <w:p w14:paraId="12BE4035">
            <w:pPr>
              <w:widowControl/>
              <w:jc w:val="center"/>
              <w:rPr>
                <w:rFonts w:hint="default"/>
                <w:sz w:val="24"/>
                <w:szCs w:val="24"/>
                <w:lang w:val="en-US" w:eastAsia="zh-CN"/>
              </w:rPr>
            </w:pPr>
            <w:r>
              <w:rPr>
                <w:rFonts w:hint="eastAsia"/>
                <w:sz w:val="24"/>
                <w:szCs w:val="24"/>
                <w:lang w:val="en-US" w:eastAsia="zh-CN"/>
              </w:rPr>
              <w:t>79</w:t>
            </w:r>
          </w:p>
        </w:tc>
        <w:tc>
          <w:tcPr>
            <w:tcW w:w="406" w:type="pct"/>
            <w:tcBorders>
              <w:top w:val="nil"/>
              <w:left w:val="nil"/>
              <w:bottom w:val="single" w:color="auto" w:sz="4" w:space="0"/>
              <w:right w:val="single" w:color="auto" w:sz="4" w:space="0"/>
            </w:tcBorders>
            <w:shd w:val="clear" w:color="auto" w:fill="auto"/>
            <w:noWrap/>
            <w:vAlign w:val="center"/>
          </w:tcPr>
          <w:p w14:paraId="6D666DBE">
            <w:pPr>
              <w:widowControl/>
              <w:jc w:val="center"/>
              <w:rPr>
                <w:rFonts w:hint="eastAsia"/>
                <w:sz w:val="24"/>
                <w:szCs w:val="24"/>
                <w:lang w:eastAsia="zh-CN"/>
              </w:rPr>
            </w:pPr>
            <w:r>
              <w:rPr>
                <w:rFonts w:hint="eastAsia"/>
                <w:sz w:val="24"/>
                <w:szCs w:val="24"/>
                <w:lang w:eastAsia="zh-CN"/>
              </w:rPr>
              <w:t>7台</w:t>
            </w:r>
          </w:p>
        </w:tc>
        <w:tc>
          <w:tcPr>
            <w:tcW w:w="469" w:type="pct"/>
            <w:tcBorders>
              <w:top w:val="nil"/>
              <w:left w:val="nil"/>
              <w:bottom w:val="single" w:color="auto" w:sz="4" w:space="0"/>
              <w:right w:val="single" w:color="auto" w:sz="4" w:space="0"/>
            </w:tcBorders>
            <w:shd w:val="clear" w:color="auto" w:fill="auto"/>
            <w:noWrap/>
            <w:vAlign w:val="center"/>
          </w:tcPr>
          <w:p w14:paraId="5CBF65EE">
            <w:pPr>
              <w:widowControl/>
              <w:jc w:val="center"/>
              <w:rPr>
                <w:rFonts w:hint="eastAsia"/>
                <w:sz w:val="24"/>
                <w:szCs w:val="24"/>
                <w:lang w:eastAsia="zh-CN"/>
              </w:rPr>
            </w:pPr>
            <w:r>
              <w:rPr>
                <w:rFonts w:hint="eastAsia"/>
                <w:sz w:val="24"/>
                <w:szCs w:val="24"/>
                <w:lang w:eastAsia="zh-CN"/>
              </w:rPr>
              <w:t>13</w:t>
            </w:r>
          </w:p>
        </w:tc>
        <w:tc>
          <w:tcPr>
            <w:tcW w:w="566" w:type="pct"/>
            <w:tcBorders>
              <w:top w:val="nil"/>
              <w:left w:val="nil"/>
              <w:bottom w:val="single" w:color="auto" w:sz="4" w:space="0"/>
              <w:right w:val="single" w:color="auto" w:sz="4" w:space="0"/>
            </w:tcBorders>
            <w:shd w:val="clear" w:color="auto" w:fill="auto"/>
            <w:noWrap/>
            <w:vAlign w:val="center"/>
          </w:tcPr>
          <w:p w14:paraId="22C11E64">
            <w:pPr>
              <w:widowControl/>
              <w:jc w:val="center"/>
              <w:rPr>
                <w:rFonts w:hint="eastAsia"/>
                <w:sz w:val="24"/>
                <w:szCs w:val="24"/>
                <w:lang w:eastAsia="zh-CN"/>
              </w:rPr>
            </w:pPr>
            <w:r>
              <w:rPr>
                <w:rFonts w:hint="eastAsia"/>
                <w:sz w:val="24"/>
                <w:szCs w:val="24"/>
                <w:lang w:eastAsia="zh-CN"/>
              </w:rPr>
              <w:t>9套</w:t>
            </w:r>
          </w:p>
        </w:tc>
        <w:tc>
          <w:tcPr>
            <w:tcW w:w="507" w:type="pct"/>
            <w:tcBorders>
              <w:top w:val="nil"/>
              <w:left w:val="nil"/>
              <w:bottom w:val="single" w:color="auto" w:sz="4" w:space="0"/>
              <w:right w:val="single" w:color="auto" w:sz="4" w:space="0"/>
            </w:tcBorders>
            <w:shd w:val="clear" w:color="auto" w:fill="auto"/>
            <w:noWrap/>
            <w:vAlign w:val="center"/>
          </w:tcPr>
          <w:p w14:paraId="4666404D">
            <w:pPr>
              <w:widowControl/>
              <w:jc w:val="center"/>
              <w:rPr>
                <w:rFonts w:hint="eastAsia"/>
                <w:sz w:val="24"/>
                <w:szCs w:val="24"/>
                <w:lang w:eastAsia="zh-CN"/>
              </w:rPr>
            </w:pPr>
            <w:r>
              <w:rPr>
                <w:rFonts w:hint="eastAsia"/>
                <w:sz w:val="24"/>
                <w:szCs w:val="24"/>
                <w:lang w:eastAsia="zh-CN"/>
              </w:rPr>
              <w:t>1套</w:t>
            </w:r>
          </w:p>
        </w:tc>
        <w:tc>
          <w:tcPr>
            <w:tcW w:w="518" w:type="pct"/>
            <w:tcBorders>
              <w:top w:val="nil"/>
              <w:left w:val="nil"/>
              <w:bottom w:val="single" w:color="auto" w:sz="4" w:space="0"/>
              <w:right w:val="single" w:color="auto" w:sz="4" w:space="0"/>
            </w:tcBorders>
            <w:shd w:val="clear" w:color="auto" w:fill="auto"/>
            <w:noWrap/>
            <w:vAlign w:val="center"/>
          </w:tcPr>
          <w:p w14:paraId="1E9FE1A8">
            <w:pPr>
              <w:widowControl/>
              <w:jc w:val="center"/>
              <w:rPr>
                <w:rFonts w:hint="eastAsia"/>
                <w:sz w:val="24"/>
                <w:szCs w:val="24"/>
                <w:lang w:eastAsia="zh-CN"/>
              </w:rPr>
            </w:pPr>
            <w:r>
              <w:rPr>
                <w:rFonts w:hint="eastAsia"/>
                <w:sz w:val="24"/>
                <w:szCs w:val="24"/>
                <w:lang w:eastAsia="zh-CN"/>
              </w:rPr>
              <w:t>1套</w:t>
            </w:r>
          </w:p>
        </w:tc>
        <w:tc>
          <w:tcPr>
            <w:tcW w:w="719" w:type="pct"/>
            <w:tcBorders>
              <w:top w:val="nil"/>
              <w:left w:val="nil"/>
              <w:bottom w:val="single" w:color="auto" w:sz="4" w:space="0"/>
              <w:right w:val="single" w:color="auto" w:sz="4" w:space="0"/>
            </w:tcBorders>
            <w:shd w:val="clear" w:color="auto" w:fill="auto"/>
            <w:noWrap/>
            <w:vAlign w:val="center"/>
          </w:tcPr>
          <w:p w14:paraId="6AC5777A">
            <w:pPr>
              <w:widowControl/>
              <w:jc w:val="center"/>
              <w:rPr>
                <w:rFonts w:hint="eastAsia"/>
                <w:sz w:val="24"/>
                <w:szCs w:val="24"/>
                <w:lang w:eastAsia="zh-CN"/>
              </w:rPr>
            </w:pPr>
            <w:r>
              <w:rPr>
                <w:rFonts w:hint="eastAsia"/>
                <w:sz w:val="24"/>
                <w:szCs w:val="24"/>
                <w:lang w:eastAsia="zh-CN"/>
              </w:rPr>
              <w:t>约230信息点</w:t>
            </w:r>
          </w:p>
        </w:tc>
        <w:tc>
          <w:tcPr>
            <w:tcW w:w="729" w:type="pct"/>
            <w:tcBorders>
              <w:top w:val="nil"/>
              <w:left w:val="nil"/>
              <w:bottom w:val="single" w:color="auto" w:sz="4" w:space="0"/>
              <w:right w:val="single" w:color="auto" w:sz="4" w:space="0"/>
            </w:tcBorders>
            <w:shd w:val="clear" w:color="auto" w:fill="auto"/>
            <w:noWrap w:val="0"/>
            <w:vAlign w:val="center"/>
          </w:tcPr>
          <w:p w14:paraId="04E96D36">
            <w:pPr>
              <w:widowControl/>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包含网络交换机、机架式电源、STS、服务器、监控平台等</w:t>
            </w:r>
          </w:p>
        </w:tc>
      </w:tr>
      <w:tr w14:paraId="37FD3812">
        <w:tblPrEx>
          <w:tblCellMar>
            <w:top w:w="0" w:type="dxa"/>
            <w:left w:w="108" w:type="dxa"/>
            <w:bottom w:w="0" w:type="dxa"/>
            <w:right w:w="108" w:type="dxa"/>
          </w:tblCellMar>
        </w:tblPrEx>
        <w:trPr>
          <w:trHeight w:val="660" w:hRule="atLeast"/>
        </w:trPr>
        <w:tc>
          <w:tcPr>
            <w:tcW w:w="608" w:type="pct"/>
            <w:tcBorders>
              <w:top w:val="nil"/>
              <w:left w:val="single" w:color="auto" w:sz="4" w:space="0"/>
              <w:bottom w:val="single" w:color="auto" w:sz="4" w:space="0"/>
              <w:right w:val="single" w:color="auto" w:sz="4" w:space="0"/>
            </w:tcBorders>
            <w:shd w:val="clear" w:color="auto" w:fill="auto"/>
            <w:noWrap/>
            <w:vAlign w:val="center"/>
          </w:tcPr>
          <w:p w14:paraId="7690F483">
            <w:pPr>
              <w:widowControl/>
              <w:jc w:val="center"/>
              <w:rPr>
                <w:rFonts w:hint="eastAsia"/>
                <w:sz w:val="24"/>
                <w:szCs w:val="24"/>
                <w:lang w:eastAsia="zh-CN"/>
              </w:rPr>
            </w:pPr>
            <w:r>
              <w:rPr>
                <w:rFonts w:hint="eastAsia"/>
                <w:sz w:val="24"/>
                <w:szCs w:val="24"/>
                <w:lang w:eastAsia="zh-CN"/>
              </w:rPr>
              <w:t>七里河支行</w:t>
            </w:r>
          </w:p>
        </w:tc>
        <w:tc>
          <w:tcPr>
            <w:tcW w:w="473" w:type="pct"/>
            <w:tcBorders>
              <w:top w:val="nil"/>
              <w:left w:val="nil"/>
              <w:bottom w:val="single" w:color="auto" w:sz="4" w:space="0"/>
              <w:right w:val="single" w:color="auto" w:sz="4" w:space="0"/>
            </w:tcBorders>
            <w:shd w:val="clear" w:color="auto" w:fill="auto"/>
            <w:noWrap/>
            <w:vAlign w:val="center"/>
          </w:tcPr>
          <w:p w14:paraId="72717DB9">
            <w:pPr>
              <w:widowControl/>
              <w:jc w:val="center"/>
              <w:rPr>
                <w:rFonts w:hint="default"/>
                <w:sz w:val="24"/>
                <w:szCs w:val="24"/>
                <w:lang w:val="en-US" w:eastAsia="zh-CN"/>
              </w:rPr>
            </w:pPr>
            <w:r>
              <w:rPr>
                <w:rFonts w:hint="eastAsia"/>
                <w:sz w:val="24"/>
                <w:szCs w:val="24"/>
                <w:lang w:val="en-US" w:eastAsia="zh-CN"/>
              </w:rPr>
              <w:t>66</w:t>
            </w:r>
          </w:p>
        </w:tc>
        <w:tc>
          <w:tcPr>
            <w:tcW w:w="406" w:type="pct"/>
            <w:tcBorders>
              <w:top w:val="nil"/>
              <w:left w:val="nil"/>
              <w:bottom w:val="single" w:color="auto" w:sz="4" w:space="0"/>
              <w:right w:val="single" w:color="auto" w:sz="4" w:space="0"/>
            </w:tcBorders>
            <w:shd w:val="clear" w:color="auto" w:fill="auto"/>
            <w:noWrap/>
            <w:vAlign w:val="center"/>
          </w:tcPr>
          <w:p w14:paraId="276A99F7">
            <w:pPr>
              <w:widowControl/>
              <w:jc w:val="center"/>
              <w:rPr>
                <w:rFonts w:hint="eastAsia"/>
                <w:sz w:val="24"/>
                <w:szCs w:val="24"/>
                <w:lang w:eastAsia="zh-CN"/>
              </w:rPr>
            </w:pPr>
            <w:r>
              <w:rPr>
                <w:rFonts w:hint="eastAsia"/>
                <w:sz w:val="24"/>
                <w:szCs w:val="24"/>
                <w:lang w:eastAsia="zh-CN"/>
              </w:rPr>
              <w:t>8台</w:t>
            </w:r>
          </w:p>
        </w:tc>
        <w:tc>
          <w:tcPr>
            <w:tcW w:w="469" w:type="pct"/>
            <w:tcBorders>
              <w:top w:val="nil"/>
              <w:left w:val="nil"/>
              <w:bottom w:val="single" w:color="auto" w:sz="4" w:space="0"/>
              <w:right w:val="single" w:color="auto" w:sz="4" w:space="0"/>
            </w:tcBorders>
            <w:shd w:val="clear" w:color="auto" w:fill="auto"/>
            <w:noWrap/>
            <w:vAlign w:val="center"/>
          </w:tcPr>
          <w:p w14:paraId="31BFDD47">
            <w:pPr>
              <w:widowControl/>
              <w:jc w:val="center"/>
              <w:rPr>
                <w:rFonts w:hint="eastAsia"/>
                <w:sz w:val="24"/>
                <w:szCs w:val="24"/>
                <w:lang w:eastAsia="zh-CN"/>
              </w:rPr>
            </w:pPr>
            <w:r>
              <w:rPr>
                <w:rFonts w:hint="eastAsia"/>
                <w:sz w:val="24"/>
                <w:szCs w:val="24"/>
                <w:lang w:eastAsia="zh-CN"/>
              </w:rPr>
              <w:t>35</w:t>
            </w:r>
          </w:p>
        </w:tc>
        <w:tc>
          <w:tcPr>
            <w:tcW w:w="566" w:type="pct"/>
            <w:tcBorders>
              <w:top w:val="nil"/>
              <w:left w:val="nil"/>
              <w:bottom w:val="single" w:color="auto" w:sz="4" w:space="0"/>
              <w:right w:val="single" w:color="auto" w:sz="4" w:space="0"/>
            </w:tcBorders>
            <w:shd w:val="clear" w:color="auto" w:fill="auto"/>
            <w:noWrap/>
            <w:vAlign w:val="center"/>
          </w:tcPr>
          <w:p w14:paraId="79D8886F">
            <w:pPr>
              <w:widowControl/>
              <w:jc w:val="center"/>
              <w:rPr>
                <w:rFonts w:hint="eastAsia"/>
                <w:sz w:val="24"/>
                <w:szCs w:val="24"/>
                <w:lang w:eastAsia="zh-CN"/>
              </w:rPr>
            </w:pPr>
            <w:r>
              <w:rPr>
                <w:rFonts w:hint="eastAsia"/>
                <w:sz w:val="24"/>
                <w:szCs w:val="24"/>
                <w:lang w:eastAsia="zh-CN"/>
              </w:rPr>
              <w:t>14套</w:t>
            </w:r>
          </w:p>
        </w:tc>
        <w:tc>
          <w:tcPr>
            <w:tcW w:w="507" w:type="pct"/>
            <w:tcBorders>
              <w:top w:val="nil"/>
              <w:left w:val="nil"/>
              <w:bottom w:val="single" w:color="auto" w:sz="4" w:space="0"/>
              <w:right w:val="single" w:color="auto" w:sz="4" w:space="0"/>
            </w:tcBorders>
            <w:shd w:val="clear" w:color="auto" w:fill="auto"/>
            <w:noWrap/>
            <w:vAlign w:val="center"/>
          </w:tcPr>
          <w:p w14:paraId="6B85CF3E">
            <w:pPr>
              <w:widowControl/>
              <w:jc w:val="center"/>
              <w:rPr>
                <w:rFonts w:hint="eastAsia"/>
                <w:sz w:val="24"/>
                <w:szCs w:val="24"/>
                <w:lang w:eastAsia="zh-CN"/>
              </w:rPr>
            </w:pPr>
            <w:r>
              <w:rPr>
                <w:rFonts w:hint="eastAsia"/>
                <w:sz w:val="24"/>
                <w:szCs w:val="24"/>
                <w:lang w:eastAsia="zh-CN"/>
              </w:rPr>
              <w:t>1套</w:t>
            </w:r>
          </w:p>
        </w:tc>
        <w:tc>
          <w:tcPr>
            <w:tcW w:w="518" w:type="pct"/>
            <w:tcBorders>
              <w:top w:val="nil"/>
              <w:left w:val="nil"/>
              <w:bottom w:val="single" w:color="auto" w:sz="4" w:space="0"/>
              <w:right w:val="single" w:color="auto" w:sz="4" w:space="0"/>
            </w:tcBorders>
            <w:shd w:val="clear" w:color="auto" w:fill="auto"/>
            <w:noWrap/>
            <w:vAlign w:val="center"/>
          </w:tcPr>
          <w:p w14:paraId="278DC4D3">
            <w:pPr>
              <w:widowControl/>
              <w:jc w:val="center"/>
              <w:rPr>
                <w:rFonts w:hint="eastAsia"/>
                <w:sz w:val="24"/>
                <w:szCs w:val="24"/>
                <w:lang w:eastAsia="zh-CN"/>
              </w:rPr>
            </w:pPr>
            <w:r>
              <w:rPr>
                <w:rFonts w:hint="eastAsia"/>
                <w:sz w:val="24"/>
                <w:szCs w:val="24"/>
                <w:lang w:eastAsia="zh-CN"/>
              </w:rPr>
              <w:t>1套</w:t>
            </w:r>
          </w:p>
        </w:tc>
        <w:tc>
          <w:tcPr>
            <w:tcW w:w="719" w:type="pct"/>
            <w:tcBorders>
              <w:top w:val="nil"/>
              <w:left w:val="nil"/>
              <w:bottom w:val="single" w:color="auto" w:sz="4" w:space="0"/>
              <w:right w:val="single" w:color="auto" w:sz="4" w:space="0"/>
            </w:tcBorders>
            <w:shd w:val="clear" w:color="auto" w:fill="auto"/>
            <w:noWrap/>
            <w:vAlign w:val="center"/>
          </w:tcPr>
          <w:p w14:paraId="1782FBF0">
            <w:pPr>
              <w:widowControl/>
              <w:jc w:val="center"/>
              <w:rPr>
                <w:rFonts w:hint="eastAsia"/>
                <w:sz w:val="24"/>
                <w:szCs w:val="24"/>
                <w:lang w:eastAsia="zh-CN"/>
              </w:rPr>
            </w:pPr>
            <w:r>
              <w:rPr>
                <w:rFonts w:hint="eastAsia"/>
                <w:sz w:val="24"/>
                <w:szCs w:val="24"/>
                <w:lang w:eastAsia="zh-CN"/>
              </w:rPr>
              <w:t>约240信息点</w:t>
            </w:r>
          </w:p>
        </w:tc>
        <w:tc>
          <w:tcPr>
            <w:tcW w:w="729" w:type="pct"/>
            <w:tcBorders>
              <w:top w:val="nil"/>
              <w:left w:val="nil"/>
              <w:bottom w:val="single" w:color="auto" w:sz="4" w:space="0"/>
              <w:right w:val="single" w:color="auto" w:sz="4" w:space="0"/>
            </w:tcBorders>
            <w:shd w:val="clear" w:color="auto" w:fill="auto"/>
            <w:noWrap w:val="0"/>
            <w:vAlign w:val="center"/>
          </w:tcPr>
          <w:p w14:paraId="2123AC05">
            <w:pPr>
              <w:widowControl/>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包含网络交换机、机架式电源、STS、服务器、监控平台等</w:t>
            </w:r>
          </w:p>
        </w:tc>
      </w:tr>
      <w:tr w14:paraId="653716EE">
        <w:tblPrEx>
          <w:tblCellMar>
            <w:top w:w="0" w:type="dxa"/>
            <w:left w:w="108" w:type="dxa"/>
            <w:bottom w:w="0" w:type="dxa"/>
            <w:right w:w="108" w:type="dxa"/>
          </w:tblCellMar>
        </w:tblPrEx>
        <w:trPr>
          <w:trHeight w:val="679" w:hRule="atLeast"/>
        </w:trPr>
        <w:tc>
          <w:tcPr>
            <w:tcW w:w="608" w:type="pct"/>
            <w:tcBorders>
              <w:top w:val="nil"/>
              <w:left w:val="single" w:color="auto" w:sz="4" w:space="0"/>
              <w:bottom w:val="single" w:color="auto" w:sz="4" w:space="0"/>
              <w:right w:val="single" w:color="auto" w:sz="4" w:space="0"/>
            </w:tcBorders>
            <w:shd w:val="clear" w:color="auto" w:fill="auto"/>
            <w:noWrap/>
            <w:vAlign w:val="center"/>
          </w:tcPr>
          <w:p w14:paraId="3B6D6A2F">
            <w:pPr>
              <w:widowControl/>
              <w:jc w:val="center"/>
              <w:rPr>
                <w:rFonts w:hint="eastAsia"/>
                <w:sz w:val="24"/>
                <w:szCs w:val="24"/>
                <w:lang w:eastAsia="zh-CN"/>
              </w:rPr>
            </w:pPr>
            <w:r>
              <w:rPr>
                <w:rFonts w:hint="eastAsia"/>
                <w:sz w:val="24"/>
                <w:szCs w:val="24"/>
                <w:lang w:eastAsia="zh-CN"/>
              </w:rPr>
              <w:t>安宁支行</w:t>
            </w:r>
          </w:p>
        </w:tc>
        <w:tc>
          <w:tcPr>
            <w:tcW w:w="473" w:type="pct"/>
            <w:tcBorders>
              <w:top w:val="nil"/>
              <w:left w:val="nil"/>
              <w:bottom w:val="single" w:color="auto" w:sz="4" w:space="0"/>
              <w:right w:val="single" w:color="auto" w:sz="4" w:space="0"/>
            </w:tcBorders>
            <w:shd w:val="clear" w:color="auto" w:fill="auto"/>
            <w:noWrap/>
            <w:vAlign w:val="center"/>
          </w:tcPr>
          <w:p w14:paraId="3B6F679C">
            <w:pPr>
              <w:widowControl/>
              <w:jc w:val="center"/>
              <w:rPr>
                <w:rFonts w:hint="default"/>
                <w:sz w:val="24"/>
                <w:szCs w:val="24"/>
                <w:lang w:val="en-US" w:eastAsia="zh-CN"/>
              </w:rPr>
            </w:pPr>
            <w:r>
              <w:rPr>
                <w:rFonts w:hint="eastAsia"/>
                <w:sz w:val="24"/>
                <w:szCs w:val="24"/>
                <w:lang w:val="en-US" w:eastAsia="zh-CN"/>
              </w:rPr>
              <w:t>69</w:t>
            </w:r>
          </w:p>
        </w:tc>
        <w:tc>
          <w:tcPr>
            <w:tcW w:w="406" w:type="pct"/>
            <w:tcBorders>
              <w:top w:val="nil"/>
              <w:left w:val="nil"/>
              <w:bottom w:val="single" w:color="auto" w:sz="4" w:space="0"/>
              <w:right w:val="single" w:color="auto" w:sz="4" w:space="0"/>
            </w:tcBorders>
            <w:shd w:val="clear" w:color="auto" w:fill="auto"/>
            <w:noWrap/>
            <w:vAlign w:val="center"/>
          </w:tcPr>
          <w:p w14:paraId="2EBAB127">
            <w:pPr>
              <w:widowControl/>
              <w:jc w:val="center"/>
              <w:rPr>
                <w:rFonts w:hint="eastAsia"/>
                <w:sz w:val="24"/>
                <w:szCs w:val="24"/>
                <w:lang w:eastAsia="zh-CN"/>
              </w:rPr>
            </w:pPr>
            <w:r>
              <w:rPr>
                <w:rFonts w:hint="eastAsia"/>
                <w:sz w:val="24"/>
                <w:szCs w:val="24"/>
                <w:lang w:val="en-US" w:eastAsia="zh-CN"/>
              </w:rPr>
              <w:t>7</w:t>
            </w:r>
            <w:r>
              <w:rPr>
                <w:rFonts w:hint="eastAsia"/>
                <w:sz w:val="24"/>
                <w:szCs w:val="24"/>
                <w:lang w:eastAsia="zh-CN"/>
              </w:rPr>
              <w:t>台</w:t>
            </w:r>
          </w:p>
        </w:tc>
        <w:tc>
          <w:tcPr>
            <w:tcW w:w="469" w:type="pct"/>
            <w:tcBorders>
              <w:top w:val="nil"/>
              <w:left w:val="nil"/>
              <w:bottom w:val="single" w:color="auto" w:sz="4" w:space="0"/>
              <w:right w:val="single" w:color="auto" w:sz="4" w:space="0"/>
            </w:tcBorders>
            <w:shd w:val="clear" w:color="auto" w:fill="auto"/>
            <w:noWrap/>
            <w:vAlign w:val="center"/>
          </w:tcPr>
          <w:p w14:paraId="5D9F97C0">
            <w:pPr>
              <w:widowControl/>
              <w:jc w:val="center"/>
              <w:rPr>
                <w:rFonts w:hint="eastAsia"/>
                <w:sz w:val="24"/>
                <w:szCs w:val="24"/>
                <w:lang w:eastAsia="zh-CN"/>
              </w:rPr>
            </w:pPr>
            <w:r>
              <w:rPr>
                <w:rFonts w:hint="eastAsia"/>
                <w:sz w:val="24"/>
                <w:szCs w:val="24"/>
                <w:lang w:eastAsia="zh-CN"/>
              </w:rPr>
              <w:t>10</w:t>
            </w:r>
          </w:p>
        </w:tc>
        <w:tc>
          <w:tcPr>
            <w:tcW w:w="566" w:type="pct"/>
            <w:tcBorders>
              <w:top w:val="nil"/>
              <w:left w:val="nil"/>
              <w:bottom w:val="single" w:color="auto" w:sz="4" w:space="0"/>
              <w:right w:val="single" w:color="auto" w:sz="4" w:space="0"/>
            </w:tcBorders>
            <w:shd w:val="clear" w:color="auto" w:fill="auto"/>
            <w:noWrap/>
            <w:vAlign w:val="center"/>
          </w:tcPr>
          <w:p w14:paraId="19AC70B5">
            <w:pPr>
              <w:widowControl/>
              <w:jc w:val="center"/>
              <w:rPr>
                <w:rFonts w:hint="eastAsia"/>
                <w:sz w:val="24"/>
                <w:szCs w:val="24"/>
                <w:lang w:eastAsia="zh-CN"/>
              </w:rPr>
            </w:pPr>
            <w:r>
              <w:rPr>
                <w:rFonts w:hint="eastAsia"/>
                <w:sz w:val="24"/>
                <w:szCs w:val="24"/>
                <w:lang w:val="en-US" w:eastAsia="zh-CN"/>
              </w:rPr>
              <w:t>10</w:t>
            </w:r>
            <w:r>
              <w:rPr>
                <w:rFonts w:hint="eastAsia"/>
                <w:sz w:val="24"/>
                <w:szCs w:val="24"/>
                <w:lang w:eastAsia="zh-CN"/>
              </w:rPr>
              <w:t>套</w:t>
            </w:r>
          </w:p>
        </w:tc>
        <w:tc>
          <w:tcPr>
            <w:tcW w:w="507" w:type="pct"/>
            <w:tcBorders>
              <w:top w:val="nil"/>
              <w:left w:val="nil"/>
              <w:bottom w:val="single" w:color="auto" w:sz="4" w:space="0"/>
              <w:right w:val="single" w:color="auto" w:sz="4" w:space="0"/>
            </w:tcBorders>
            <w:shd w:val="clear" w:color="auto" w:fill="auto"/>
            <w:noWrap/>
            <w:vAlign w:val="center"/>
          </w:tcPr>
          <w:p w14:paraId="3E3A7465">
            <w:pPr>
              <w:widowControl/>
              <w:jc w:val="center"/>
              <w:rPr>
                <w:rFonts w:hint="eastAsia"/>
                <w:sz w:val="24"/>
                <w:szCs w:val="24"/>
                <w:lang w:eastAsia="zh-CN"/>
              </w:rPr>
            </w:pPr>
            <w:r>
              <w:rPr>
                <w:rFonts w:hint="eastAsia"/>
                <w:sz w:val="24"/>
                <w:szCs w:val="24"/>
                <w:lang w:eastAsia="zh-CN"/>
              </w:rPr>
              <w:t>1套</w:t>
            </w:r>
          </w:p>
        </w:tc>
        <w:tc>
          <w:tcPr>
            <w:tcW w:w="518" w:type="pct"/>
            <w:tcBorders>
              <w:top w:val="nil"/>
              <w:left w:val="nil"/>
              <w:bottom w:val="single" w:color="auto" w:sz="4" w:space="0"/>
              <w:right w:val="single" w:color="auto" w:sz="4" w:space="0"/>
            </w:tcBorders>
            <w:shd w:val="clear" w:color="auto" w:fill="auto"/>
            <w:noWrap/>
            <w:vAlign w:val="center"/>
          </w:tcPr>
          <w:p w14:paraId="5B786B98">
            <w:pPr>
              <w:widowControl/>
              <w:jc w:val="center"/>
              <w:rPr>
                <w:rFonts w:hint="eastAsia"/>
                <w:sz w:val="24"/>
                <w:szCs w:val="24"/>
                <w:lang w:eastAsia="zh-CN"/>
              </w:rPr>
            </w:pPr>
            <w:r>
              <w:rPr>
                <w:rFonts w:hint="eastAsia"/>
                <w:sz w:val="24"/>
                <w:szCs w:val="24"/>
                <w:lang w:eastAsia="zh-CN"/>
              </w:rPr>
              <w:t>1套</w:t>
            </w:r>
          </w:p>
        </w:tc>
        <w:tc>
          <w:tcPr>
            <w:tcW w:w="719" w:type="pct"/>
            <w:tcBorders>
              <w:top w:val="nil"/>
              <w:left w:val="nil"/>
              <w:bottom w:val="single" w:color="auto" w:sz="4" w:space="0"/>
              <w:right w:val="single" w:color="auto" w:sz="4" w:space="0"/>
            </w:tcBorders>
            <w:shd w:val="clear" w:color="auto" w:fill="auto"/>
            <w:noWrap/>
            <w:vAlign w:val="center"/>
          </w:tcPr>
          <w:p w14:paraId="6D139713">
            <w:pPr>
              <w:widowControl/>
              <w:jc w:val="center"/>
              <w:rPr>
                <w:rFonts w:hint="eastAsia"/>
                <w:sz w:val="24"/>
                <w:szCs w:val="24"/>
                <w:lang w:eastAsia="zh-CN"/>
              </w:rPr>
            </w:pPr>
            <w:r>
              <w:rPr>
                <w:rFonts w:hint="eastAsia"/>
                <w:sz w:val="24"/>
                <w:szCs w:val="24"/>
                <w:lang w:eastAsia="zh-CN"/>
              </w:rPr>
              <w:t>约18</w:t>
            </w:r>
            <w:r>
              <w:rPr>
                <w:rFonts w:hint="eastAsia"/>
                <w:sz w:val="24"/>
                <w:szCs w:val="24"/>
                <w:lang w:val="en-US" w:eastAsia="zh-CN"/>
              </w:rPr>
              <w:t>0</w:t>
            </w:r>
            <w:r>
              <w:rPr>
                <w:rFonts w:hint="eastAsia"/>
                <w:sz w:val="24"/>
                <w:szCs w:val="24"/>
                <w:lang w:eastAsia="zh-CN"/>
              </w:rPr>
              <w:t>信息点</w:t>
            </w:r>
          </w:p>
        </w:tc>
        <w:tc>
          <w:tcPr>
            <w:tcW w:w="729" w:type="pct"/>
            <w:tcBorders>
              <w:top w:val="nil"/>
              <w:left w:val="nil"/>
              <w:bottom w:val="single" w:color="auto" w:sz="4" w:space="0"/>
              <w:right w:val="single" w:color="auto" w:sz="4" w:space="0"/>
            </w:tcBorders>
            <w:shd w:val="clear" w:color="auto" w:fill="auto"/>
            <w:noWrap w:val="0"/>
            <w:vAlign w:val="center"/>
          </w:tcPr>
          <w:p w14:paraId="4D1D2AAB">
            <w:pPr>
              <w:widowControl/>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包含网络交换机、机架式电源、STS、服务器、监控平台等</w:t>
            </w:r>
          </w:p>
        </w:tc>
      </w:tr>
      <w:tr w14:paraId="457B5CC8">
        <w:tblPrEx>
          <w:tblCellMar>
            <w:top w:w="0" w:type="dxa"/>
            <w:left w:w="108" w:type="dxa"/>
            <w:bottom w:w="0" w:type="dxa"/>
            <w:right w:w="108" w:type="dxa"/>
          </w:tblCellMar>
        </w:tblPrEx>
        <w:trPr>
          <w:trHeight w:val="619" w:hRule="atLeast"/>
        </w:trPr>
        <w:tc>
          <w:tcPr>
            <w:tcW w:w="608" w:type="pct"/>
            <w:tcBorders>
              <w:top w:val="nil"/>
              <w:left w:val="single" w:color="auto" w:sz="4" w:space="0"/>
              <w:bottom w:val="single" w:color="auto" w:sz="4" w:space="0"/>
              <w:right w:val="single" w:color="auto" w:sz="4" w:space="0"/>
            </w:tcBorders>
            <w:shd w:val="clear" w:color="auto" w:fill="auto"/>
            <w:noWrap/>
            <w:vAlign w:val="center"/>
          </w:tcPr>
          <w:p w14:paraId="22F5A49B">
            <w:pPr>
              <w:widowControl/>
              <w:jc w:val="center"/>
              <w:rPr>
                <w:rFonts w:hint="eastAsia"/>
                <w:sz w:val="24"/>
                <w:szCs w:val="24"/>
                <w:lang w:eastAsia="zh-CN"/>
              </w:rPr>
            </w:pPr>
            <w:r>
              <w:rPr>
                <w:rFonts w:hint="eastAsia"/>
                <w:sz w:val="24"/>
                <w:szCs w:val="24"/>
                <w:lang w:eastAsia="zh-CN"/>
              </w:rPr>
              <w:t>兰州新区支行</w:t>
            </w:r>
          </w:p>
        </w:tc>
        <w:tc>
          <w:tcPr>
            <w:tcW w:w="473" w:type="pct"/>
            <w:tcBorders>
              <w:top w:val="nil"/>
              <w:left w:val="nil"/>
              <w:bottom w:val="single" w:color="auto" w:sz="4" w:space="0"/>
              <w:right w:val="single" w:color="auto" w:sz="4" w:space="0"/>
            </w:tcBorders>
            <w:shd w:val="clear" w:color="auto" w:fill="auto"/>
            <w:noWrap/>
            <w:vAlign w:val="center"/>
          </w:tcPr>
          <w:p w14:paraId="7A33F98F">
            <w:pPr>
              <w:widowControl/>
              <w:jc w:val="center"/>
              <w:rPr>
                <w:rFonts w:hint="default"/>
                <w:sz w:val="24"/>
                <w:szCs w:val="24"/>
                <w:lang w:val="en-US" w:eastAsia="zh-CN"/>
              </w:rPr>
            </w:pPr>
            <w:r>
              <w:rPr>
                <w:rFonts w:hint="eastAsia"/>
                <w:sz w:val="24"/>
                <w:szCs w:val="24"/>
                <w:lang w:val="en-US" w:eastAsia="zh-CN"/>
              </w:rPr>
              <w:t>64</w:t>
            </w:r>
          </w:p>
        </w:tc>
        <w:tc>
          <w:tcPr>
            <w:tcW w:w="406" w:type="pct"/>
            <w:tcBorders>
              <w:top w:val="nil"/>
              <w:left w:val="nil"/>
              <w:bottom w:val="single" w:color="auto" w:sz="4" w:space="0"/>
              <w:right w:val="single" w:color="auto" w:sz="4" w:space="0"/>
            </w:tcBorders>
            <w:shd w:val="clear" w:color="auto" w:fill="auto"/>
            <w:noWrap/>
            <w:vAlign w:val="center"/>
          </w:tcPr>
          <w:p w14:paraId="37DF3300">
            <w:pPr>
              <w:widowControl/>
              <w:jc w:val="center"/>
              <w:rPr>
                <w:rFonts w:hint="eastAsia"/>
                <w:sz w:val="24"/>
                <w:szCs w:val="24"/>
                <w:lang w:eastAsia="zh-CN"/>
              </w:rPr>
            </w:pPr>
            <w:r>
              <w:rPr>
                <w:rFonts w:hint="eastAsia"/>
                <w:sz w:val="24"/>
                <w:szCs w:val="24"/>
                <w:lang w:val="en-US" w:eastAsia="zh-CN"/>
              </w:rPr>
              <w:t>5</w:t>
            </w:r>
            <w:r>
              <w:rPr>
                <w:rFonts w:hint="eastAsia"/>
                <w:sz w:val="24"/>
                <w:szCs w:val="24"/>
                <w:lang w:eastAsia="zh-CN"/>
              </w:rPr>
              <w:t>台</w:t>
            </w:r>
          </w:p>
        </w:tc>
        <w:tc>
          <w:tcPr>
            <w:tcW w:w="469" w:type="pct"/>
            <w:tcBorders>
              <w:top w:val="nil"/>
              <w:left w:val="nil"/>
              <w:bottom w:val="single" w:color="auto" w:sz="4" w:space="0"/>
              <w:right w:val="single" w:color="auto" w:sz="4" w:space="0"/>
            </w:tcBorders>
            <w:shd w:val="clear" w:color="auto" w:fill="auto"/>
            <w:noWrap/>
            <w:vAlign w:val="center"/>
          </w:tcPr>
          <w:p w14:paraId="06CF7A4D">
            <w:pPr>
              <w:widowControl/>
              <w:jc w:val="center"/>
              <w:rPr>
                <w:rFonts w:hint="default"/>
                <w:sz w:val="24"/>
                <w:szCs w:val="24"/>
                <w:lang w:val="en-US" w:eastAsia="zh-CN"/>
              </w:rPr>
            </w:pPr>
            <w:r>
              <w:rPr>
                <w:rFonts w:hint="eastAsia"/>
                <w:sz w:val="24"/>
                <w:szCs w:val="24"/>
                <w:lang w:val="en-US" w:eastAsia="zh-CN"/>
              </w:rPr>
              <w:t>32</w:t>
            </w:r>
          </w:p>
        </w:tc>
        <w:tc>
          <w:tcPr>
            <w:tcW w:w="566" w:type="pct"/>
            <w:tcBorders>
              <w:top w:val="nil"/>
              <w:left w:val="nil"/>
              <w:bottom w:val="single" w:color="auto" w:sz="4" w:space="0"/>
              <w:right w:val="single" w:color="auto" w:sz="4" w:space="0"/>
            </w:tcBorders>
            <w:shd w:val="clear" w:color="auto" w:fill="auto"/>
            <w:noWrap/>
            <w:vAlign w:val="center"/>
          </w:tcPr>
          <w:p w14:paraId="4FFC9FF9">
            <w:pPr>
              <w:widowControl/>
              <w:jc w:val="center"/>
              <w:rPr>
                <w:rFonts w:hint="eastAsia"/>
                <w:sz w:val="24"/>
                <w:szCs w:val="24"/>
                <w:lang w:eastAsia="zh-CN"/>
              </w:rPr>
            </w:pPr>
            <w:r>
              <w:rPr>
                <w:rFonts w:hint="eastAsia"/>
                <w:sz w:val="24"/>
                <w:szCs w:val="24"/>
                <w:lang w:val="en-US" w:eastAsia="zh-CN"/>
              </w:rPr>
              <w:t>14</w:t>
            </w:r>
            <w:r>
              <w:rPr>
                <w:rFonts w:hint="eastAsia"/>
                <w:sz w:val="24"/>
                <w:szCs w:val="24"/>
                <w:lang w:eastAsia="zh-CN"/>
              </w:rPr>
              <w:t>套</w:t>
            </w:r>
          </w:p>
        </w:tc>
        <w:tc>
          <w:tcPr>
            <w:tcW w:w="507" w:type="pct"/>
            <w:tcBorders>
              <w:top w:val="nil"/>
              <w:left w:val="nil"/>
              <w:bottom w:val="single" w:color="auto" w:sz="4" w:space="0"/>
              <w:right w:val="single" w:color="auto" w:sz="4" w:space="0"/>
            </w:tcBorders>
            <w:shd w:val="clear" w:color="auto" w:fill="auto"/>
            <w:noWrap/>
            <w:vAlign w:val="center"/>
          </w:tcPr>
          <w:p w14:paraId="55FF2220">
            <w:pPr>
              <w:widowControl/>
              <w:jc w:val="center"/>
              <w:rPr>
                <w:rFonts w:hint="eastAsia"/>
                <w:sz w:val="24"/>
                <w:szCs w:val="24"/>
                <w:lang w:eastAsia="zh-CN"/>
              </w:rPr>
            </w:pPr>
            <w:r>
              <w:rPr>
                <w:rFonts w:hint="eastAsia"/>
                <w:sz w:val="24"/>
                <w:szCs w:val="24"/>
                <w:lang w:eastAsia="zh-CN"/>
              </w:rPr>
              <w:t>1套</w:t>
            </w:r>
          </w:p>
        </w:tc>
        <w:tc>
          <w:tcPr>
            <w:tcW w:w="518" w:type="pct"/>
            <w:tcBorders>
              <w:top w:val="nil"/>
              <w:left w:val="nil"/>
              <w:bottom w:val="single" w:color="auto" w:sz="4" w:space="0"/>
              <w:right w:val="single" w:color="auto" w:sz="4" w:space="0"/>
            </w:tcBorders>
            <w:shd w:val="clear" w:color="auto" w:fill="auto"/>
            <w:noWrap/>
            <w:vAlign w:val="center"/>
          </w:tcPr>
          <w:p w14:paraId="4BA029C8">
            <w:pPr>
              <w:widowControl/>
              <w:jc w:val="center"/>
              <w:rPr>
                <w:rFonts w:hint="eastAsia"/>
                <w:sz w:val="24"/>
                <w:szCs w:val="24"/>
                <w:lang w:eastAsia="zh-CN"/>
              </w:rPr>
            </w:pPr>
            <w:r>
              <w:rPr>
                <w:rFonts w:hint="eastAsia"/>
                <w:sz w:val="24"/>
                <w:szCs w:val="24"/>
                <w:lang w:eastAsia="zh-CN"/>
              </w:rPr>
              <w:t>1套</w:t>
            </w:r>
          </w:p>
        </w:tc>
        <w:tc>
          <w:tcPr>
            <w:tcW w:w="719" w:type="pct"/>
            <w:tcBorders>
              <w:top w:val="nil"/>
              <w:left w:val="nil"/>
              <w:bottom w:val="single" w:color="auto" w:sz="4" w:space="0"/>
              <w:right w:val="single" w:color="auto" w:sz="4" w:space="0"/>
            </w:tcBorders>
            <w:shd w:val="clear" w:color="auto" w:fill="auto"/>
            <w:noWrap/>
            <w:vAlign w:val="center"/>
          </w:tcPr>
          <w:p w14:paraId="16CA496D">
            <w:pPr>
              <w:widowControl/>
              <w:jc w:val="center"/>
              <w:rPr>
                <w:rFonts w:hint="eastAsia"/>
                <w:sz w:val="24"/>
                <w:szCs w:val="24"/>
                <w:lang w:eastAsia="zh-CN"/>
              </w:rPr>
            </w:pPr>
            <w:r>
              <w:rPr>
                <w:rFonts w:hint="eastAsia"/>
                <w:sz w:val="24"/>
                <w:szCs w:val="24"/>
                <w:lang w:eastAsia="zh-CN"/>
              </w:rPr>
              <w:t>约</w:t>
            </w:r>
            <w:r>
              <w:rPr>
                <w:rFonts w:hint="eastAsia"/>
                <w:sz w:val="24"/>
                <w:szCs w:val="24"/>
                <w:lang w:val="en-US" w:eastAsia="zh-CN"/>
              </w:rPr>
              <w:t>182</w:t>
            </w:r>
            <w:r>
              <w:rPr>
                <w:rFonts w:hint="eastAsia"/>
                <w:sz w:val="24"/>
                <w:szCs w:val="24"/>
                <w:lang w:eastAsia="zh-CN"/>
              </w:rPr>
              <w:t>信息点</w:t>
            </w:r>
          </w:p>
        </w:tc>
        <w:tc>
          <w:tcPr>
            <w:tcW w:w="729" w:type="pct"/>
            <w:tcBorders>
              <w:top w:val="nil"/>
              <w:left w:val="nil"/>
              <w:bottom w:val="single" w:color="auto" w:sz="4" w:space="0"/>
              <w:right w:val="single" w:color="auto" w:sz="4" w:space="0"/>
            </w:tcBorders>
            <w:shd w:val="clear" w:color="auto" w:fill="auto"/>
            <w:noWrap w:val="0"/>
            <w:vAlign w:val="center"/>
          </w:tcPr>
          <w:p w14:paraId="4AD701FD">
            <w:pPr>
              <w:widowControl/>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包含网络交换机、机架式电源、STS、服务器、监控平台等</w:t>
            </w:r>
          </w:p>
        </w:tc>
      </w:tr>
      <w:tr w14:paraId="3AD2CBA1">
        <w:tblPrEx>
          <w:tblCellMar>
            <w:top w:w="0" w:type="dxa"/>
            <w:left w:w="108" w:type="dxa"/>
            <w:bottom w:w="0" w:type="dxa"/>
            <w:right w:w="108" w:type="dxa"/>
          </w:tblCellMar>
        </w:tblPrEx>
        <w:trPr>
          <w:trHeight w:val="900" w:hRule="atLeast"/>
        </w:trPr>
        <w:tc>
          <w:tcPr>
            <w:tcW w:w="608" w:type="pct"/>
            <w:tcBorders>
              <w:top w:val="nil"/>
              <w:left w:val="single" w:color="auto" w:sz="4" w:space="0"/>
              <w:bottom w:val="single" w:color="auto" w:sz="4" w:space="0"/>
              <w:right w:val="single" w:color="auto" w:sz="4" w:space="0"/>
            </w:tcBorders>
            <w:shd w:val="clear" w:color="auto" w:fill="auto"/>
            <w:noWrap/>
            <w:vAlign w:val="center"/>
          </w:tcPr>
          <w:p w14:paraId="7F1DD796">
            <w:pPr>
              <w:widowControl/>
              <w:jc w:val="center"/>
              <w:rPr>
                <w:rFonts w:hint="eastAsia"/>
                <w:sz w:val="24"/>
                <w:szCs w:val="24"/>
                <w:lang w:eastAsia="zh-CN"/>
              </w:rPr>
            </w:pPr>
            <w:r>
              <w:rPr>
                <w:rFonts w:hint="eastAsia"/>
                <w:sz w:val="24"/>
                <w:szCs w:val="24"/>
                <w:lang w:eastAsia="zh-CN"/>
              </w:rPr>
              <w:t>城关支行</w:t>
            </w:r>
          </w:p>
        </w:tc>
        <w:tc>
          <w:tcPr>
            <w:tcW w:w="473" w:type="pct"/>
            <w:tcBorders>
              <w:top w:val="nil"/>
              <w:left w:val="nil"/>
              <w:bottom w:val="single" w:color="auto" w:sz="4" w:space="0"/>
              <w:right w:val="single" w:color="auto" w:sz="4" w:space="0"/>
            </w:tcBorders>
            <w:shd w:val="clear" w:color="auto" w:fill="auto"/>
            <w:noWrap/>
            <w:vAlign w:val="center"/>
          </w:tcPr>
          <w:p w14:paraId="2AC65E0D">
            <w:pPr>
              <w:widowControl/>
              <w:jc w:val="center"/>
              <w:rPr>
                <w:rFonts w:hint="default"/>
                <w:sz w:val="24"/>
                <w:szCs w:val="24"/>
                <w:lang w:val="en-US" w:eastAsia="zh-CN"/>
              </w:rPr>
            </w:pPr>
            <w:r>
              <w:rPr>
                <w:rFonts w:hint="eastAsia"/>
                <w:sz w:val="24"/>
                <w:szCs w:val="24"/>
                <w:lang w:val="en-US" w:eastAsia="zh-CN"/>
              </w:rPr>
              <w:t>69</w:t>
            </w:r>
          </w:p>
        </w:tc>
        <w:tc>
          <w:tcPr>
            <w:tcW w:w="406" w:type="pct"/>
            <w:tcBorders>
              <w:top w:val="nil"/>
              <w:left w:val="nil"/>
              <w:bottom w:val="single" w:color="auto" w:sz="4" w:space="0"/>
              <w:right w:val="single" w:color="auto" w:sz="4" w:space="0"/>
            </w:tcBorders>
            <w:shd w:val="clear" w:color="auto" w:fill="auto"/>
            <w:noWrap/>
            <w:vAlign w:val="center"/>
          </w:tcPr>
          <w:p w14:paraId="3B2B5BFB">
            <w:pPr>
              <w:widowControl/>
              <w:jc w:val="center"/>
              <w:rPr>
                <w:rFonts w:hint="eastAsia"/>
                <w:sz w:val="24"/>
                <w:szCs w:val="24"/>
                <w:lang w:eastAsia="zh-CN"/>
              </w:rPr>
            </w:pPr>
            <w:r>
              <w:rPr>
                <w:rFonts w:hint="eastAsia"/>
                <w:sz w:val="24"/>
                <w:szCs w:val="24"/>
                <w:lang w:val="en-US" w:eastAsia="zh-CN"/>
              </w:rPr>
              <w:t>9</w:t>
            </w:r>
            <w:r>
              <w:rPr>
                <w:rFonts w:hint="eastAsia"/>
                <w:sz w:val="24"/>
                <w:szCs w:val="24"/>
                <w:lang w:eastAsia="zh-CN"/>
              </w:rPr>
              <w:t>台</w:t>
            </w:r>
          </w:p>
        </w:tc>
        <w:tc>
          <w:tcPr>
            <w:tcW w:w="469" w:type="pct"/>
            <w:tcBorders>
              <w:top w:val="nil"/>
              <w:left w:val="nil"/>
              <w:bottom w:val="single" w:color="auto" w:sz="4" w:space="0"/>
              <w:right w:val="single" w:color="auto" w:sz="4" w:space="0"/>
            </w:tcBorders>
            <w:shd w:val="clear" w:color="auto" w:fill="auto"/>
            <w:noWrap/>
            <w:vAlign w:val="center"/>
          </w:tcPr>
          <w:p w14:paraId="12BFCF95">
            <w:pPr>
              <w:widowControl/>
              <w:jc w:val="center"/>
              <w:rPr>
                <w:rFonts w:hint="default"/>
                <w:sz w:val="24"/>
                <w:szCs w:val="24"/>
                <w:lang w:val="en-US" w:eastAsia="zh-CN"/>
              </w:rPr>
            </w:pPr>
            <w:r>
              <w:rPr>
                <w:rFonts w:hint="eastAsia"/>
                <w:sz w:val="24"/>
                <w:szCs w:val="24"/>
                <w:lang w:val="en-US" w:eastAsia="zh-CN"/>
              </w:rPr>
              <w:t>31</w:t>
            </w:r>
          </w:p>
        </w:tc>
        <w:tc>
          <w:tcPr>
            <w:tcW w:w="566" w:type="pct"/>
            <w:tcBorders>
              <w:top w:val="nil"/>
              <w:left w:val="nil"/>
              <w:bottom w:val="single" w:color="auto" w:sz="4" w:space="0"/>
              <w:right w:val="single" w:color="auto" w:sz="4" w:space="0"/>
            </w:tcBorders>
            <w:shd w:val="clear" w:color="auto" w:fill="auto"/>
            <w:noWrap/>
            <w:vAlign w:val="center"/>
          </w:tcPr>
          <w:p w14:paraId="72D2C02F">
            <w:pPr>
              <w:widowControl/>
              <w:jc w:val="center"/>
              <w:rPr>
                <w:rFonts w:hint="eastAsia"/>
                <w:sz w:val="24"/>
                <w:szCs w:val="24"/>
                <w:lang w:eastAsia="zh-CN"/>
              </w:rPr>
            </w:pPr>
            <w:r>
              <w:rPr>
                <w:rFonts w:hint="eastAsia"/>
                <w:sz w:val="24"/>
                <w:szCs w:val="24"/>
                <w:lang w:eastAsia="zh-CN"/>
              </w:rPr>
              <w:t>1</w:t>
            </w:r>
            <w:r>
              <w:rPr>
                <w:rFonts w:hint="eastAsia"/>
                <w:sz w:val="24"/>
                <w:szCs w:val="24"/>
                <w:lang w:val="en-US" w:eastAsia="zh-CN"/>
              </w:rPr>
              <w:t>6</w:t>
            </w:r>
            <w:r>
              <w:rPr>
                <w:rFonts w:hint="eastAsia"/>
                <w:sz w:val="24"/>
                <w:szCs w:val="24"/>
                <w:lang w:eastAsia="zh-CN"/>
              </w:rPr>
              <w:t>套</w:t>
            </w:r>
          </w:p>
        </w:tc>
        <w:tc>
          <w:tcPr>
            <w:tcW w:w="507" w:type="pct"/>
            <w:tcBorders>
              <w:top w:val="nil"/>
              <w:left w:val="nil"/>
              <w:bottom w:val="single" w:color="auto" w:sz="4" w:space="0"/>
              <w:right w:val="single" w:color="auto" w:sz="4" w:space="0"/>
            </w:tcBorders>
            <w:shd w:val="clear" w:color="auto" w:fill="auto"/>
            <w:noWrap/>
            <w:vAlign w:val="center"/>
          </w:tcPr>
          <w:p w14:paraId="72D148D1">
            <w:pPr>
              <w:widowControl/>
              <w:jc w:val="center"/>
              <w:rPr>
                <w:rFonts w:hint="eastAsia"/>
                <w:sz w:val="24"/>
                <w:szCs w:val="24"/>
                <w:lang w:eastAsia="zh-CN"/>
              </w:rPr>
            </w:pPr>
            <w:r>
              <w:rPr>
                <w:rFonts w:hint="eastAsia"/>
                <w:sz w:val="24"/>
                <w:szCs w:val="24"/>
                <w:lang w:eastAsia="zh-CN"/>
              </w:rPr>
              <w:t>1套</w:t>
            </w:r>
          </w:p>
        </w:tc>
        <w:tc>
          <w:tcPr>
            <w:tcW w:w="518" w:type="pct"/>
            <w:tcBorders>
              <w:top w:val="nil"/>
              <w:left w:val="nil"/>
              <w:bottom w:val="single" w:color="auto" w:sz="4" w:space="0"/>
              <w:right w:val="single" w:color="auto" w:sz="4" w:space="0"/>
            </w:tcBorders>
            <w:shd w:val="clear" w:color="auto" w:fill="auto"/>
            <w:noWrap/>
            <w:vAlign w:val="center"/>
          </w:tcPr>
          <w:p w14:paraId="76EBE1EA">
            <w:pPr>
              <w:widowControl/>
              <w:jc w:val="center"/>
              <w:rPr>
                <w:rFonts w:hint="eastAsia"/>
                <w:sz w:val="24"/>
                <w:szCs w:val="24"/>
                <w:lang w:eastAsia="zh-CN"/>
              </w:rPr>
            </w:pPr>
            <w:r>
              <w:rPr>
                <w:rFonts w:hint="eastAsia"/>
                <w:sz w:val="24"/>
                <w:szCs w:val="24"/>
                <w:lang w:eastAsia="zh-CN"/>
              </w:rPr>
              <w:t>1套</w:t>
            </w:r>
          </w:p>
        </w:tc>
        <w:tc>
          <w:tcPr>
            <w:tcW w:w="719" w:type="pct"/>
            <w:tcBorders>
              <w:top w:val="nil"/>
              <w:left w:val="nil"/>
              <w:bottom w:val="single" w:color="auto" w:sz="4" w:space="0"/>
              <w:right w:val="single" w:color="auto" w:sz="4" w:space="0"/>
            </w:tcBorders>
            <w:shd w:val="clear" w:color="auto" w:fill="auto"/>
            <w:noWrap/>
            <w:vAlign w:val="center"/>
          </w:tcPr>
          <w:p w14:paraId="4708449D">
            <w:pPr>
              <w:widowControl/>
              <w:jc w:val="center"/>
              <w:rPr>
                <w:rFonts w:hint="eastAsia"/>
                <w:sz w:val="24"/>
                <w:szCs w:val="24"/>
                <w:lang w:eastAsia="zh-CN"/>
              </w:rPr>
            </w:pPr>
            <w:r>
              <w:rPr>
                <w:rFonts w:hint="eastAsia"/>
                <w:sz w:val="24"/>
                <w:szCs w:val="24"/>
                <w:lang w:eastAsia="zh-CN"/>
              </w:rPr>
              <w:t>约260信息点</w:t>
            </w:r>
          </w:p>
        </w:tc>
        <w:tc>
          <w:tcPr>
            <w:tcW w:w="729" w:type="pct"/>
            <w:tcBorders>
              <w:top w:val="nil"/>
              <w:left w:val="nil"/>
              <w:bottom w:val="single" w:color="auto" w:sz="4" w:space="0"/>
              <w:right w:val="single" w:color="auto" w:sz="4" w:space="0"/>
            </w:tcBorders>
            <w:shd w:val="clear" w:color="auto" w:fill="auto"/>
            <w:noWrap w:val="0"/>
            <w:vAlign w:val="center"/>
          </w:tcPr>
          <w:p w14:paraId="51AE258D">
            <w:pPr>
              <w:widowControl/>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包含网络交换机、机架式电源、STS、服务器、监控平台等</w:t>
            </w:r>
          </w:p>
        </w:tc>
      </w:tr>
    </w:tbl>
    <w:p w14:paraId="1325B7E0">
      <w:pPr>
        <w:pStyle w:val="2"/>
        <w:ind w:left="2200"/>
        <w:rPr>
          <w:rFonts w:hint="eastAsia"/>
          <w:lang w:eastAsia="zh-CN"/>
        </w:rPr>
      </w:pPr>
    </w:p>
    <w:p w14:paraId="1089D1EA">
      <w:pPr>
        <w:rPr>
          <w:lang w:eastAsia="zh-CN"/>
        </w:rPr>
      </w:pPr>
    </w:p>
    <w:p w14:paraId="059DC985"/>
    <w:p w14:paraId="5A706D71"/>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5314D0"/>
    <w:rsid w:val="335B5DC6"/>
    <w:rsid w:val="342C4765"/>
    <w:rsid w:val="3F531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宋体" w:hAnsi="宋体" w:eastAsia="宋体" w:cs="宋体"/>
      <w:sz w:val="22"/>
      <w:szCs w:val="22"/>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index 6"/>
    <w:basedOn w:val="1"/>
    <w:next w:val="1"/>
    <w:qFormat/>
    <w:uiPriority w:val="0"/>
    <w:pPr>
      <w:ind w:left="1000" w:leftChars="100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322</Words>
  <Characters>368</Characters>
  <Lines>0</Lines>
  <Paragraphs>0</Paragraphs>
  <TotalTime>9</TotalTime>
  <ScaleCrop>false</ScaleCrop>
  <LinksUpToDate>false</LinksUpToDate>
  <CharactersWithSpaces>368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cp:contentStatus>浙商银行*浙商银行兰州分行本级及兰内支行弱电设施设备维护保养服务采购项目供应商寻源公示*aqbwb_lz@czbank.com*1479638122@QQ.com * * *2026-08-28 15:35:50;</cp:contentStatus>
  <dcterms:created xsi:type="dcterms:W3CDTF">2026-08-19T07:11:00Z</dcterms:created>
  <dc:creator>潘永忠</dc:creator>
  <cp:lastModifiedBy>毕治学</cp:lastModifiedBy>
  <dcterms:modified xsi:type="dcterms:W3CDTF">2026-08-21T09:57:32Z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76B3D9BD115E41DB9E186CD023F53C11_13</vt:lpwstr>
  </property>
  <property fmtid="{D5CDD505-2E9C-101B-9397-08002B2CF9AE}" pid="4" name="KSOTemplateDocerSaveRecord">
    <vt:lpwstr>eyJoZGlkIjoiYjk5ODM0YmMxOWJiYWQyNDU4MGIzYWRmYTA0ZmI5NDciLCJ1c2VySWQiOiI1NTg3Mjg5MTAifQ==</vt:lpwstr>
  </property>
</Properties>
</file>