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left"/>
        <w:outlineLvl w:val="0"/>
        <w:rPr>
          <w:rFonts w:hint="eastAsia"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2</w:t>
      </w:r>
    </w:p>
    <w:p>
      <w:pPr>
        <w:jc w:val="center"/>
        <w:rPr>
          <w:rFonts w:hint="eastAsia" w:ascii="仿宋" w:hAnsi="仿宋" w:eastAsia="仿宋"/>
          <w:b/>
          <w:bCs/>
          <w:sz w:val="28"/>
          <w:szCs w:val="28"/>
        </w:rPr>
      </w:pPr>
    </w:p>
    <w:p>
      <w:pPr>
        <w:ind w:left="0" w:leftChars="0" w:firstLine="0" w:firstLineChars="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kern w:val="2"/>
          <w:sz w:val="44"/>
          <w:szCs w:val="44"/>
          <w:lang w:val="en-US" w:eastAsia="zh-CN" w:bidi="ar-SA"/>
        </w:rPr>
        <w:t>兴业银行兰州分行2026-2027年度员工食堂食材供应采购项目</w:t>
      </w:r>
      <w:r>
        <w:rPr>
          <w:rFonts w:hint="eastAsia" w:asciiTheme="majorEastAsia" w:hAnsiTheme="majorEastAsia" w:eastAsiaTheme="majorEastAsia" w:cstheme="majorEastAsia"/>
          <w:b/>
          <w:bCs/>
          <w:sz w:val="44"/>
          <w:szCs w:val="44"/>
        </w:rPr>
        <w:t>》供应商征集反馈材料-公司名称（全称）</w:t>
      </w:r>
    </w:p>
    <w:p>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10"/>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vAlign w:val="center"/>
          </w:tcPr>
          <w:p>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vAlign w:val="center"/>
          </w:tcPr>
          <w:p>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pPr>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val="en-US" w:eastAsia="zh-CN"/>
              </w:rPr>
              <w:t>.1</w:t>
            </w:r>
            <w:r>
              <w:rPr>
                <w:rFonts w:hint="eastAsia" w:ascii="宋体" w:hAnsi="宋体" w:eastAsia="宋体" w:cs="宋体"/>
                <w:sz w:val="21"/>
                <w:szCs w:val="21"/>
              </w:rPr>
              <w:t>采购需求</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提供员工食堂日常运营所需全品类食材，包括但不限于蔬菜、肉类（含禽肉、畜肉）、调料、水产品、蛋奶类等，需满足“兴业绿色食堂”对食材品质的基础要求。需提供食材仓储、冷链运输、按时配送服务，适配分行食堂食材需求量与严格的时效要求（确保每日食材新鲜供应，无延迟配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1" w:hRule="atLeast"/>
          <w:jc w:val="center"/>
        </w:trPr>
        <w:tc>
          <w:tcPr>
            <w:tcW w:w="2366" w:type="dxa"/>
            <w:vAlign w:val="center"/>
          </w:tcPr>
          <w:p>
            <w:pPr>
              <w:ind w:left="0" w:leftChars="0" w:firstLine="0" w:firstLineChars="0"/>
              <w:rPr>
                <w:rFonts w:hint="default" w:ascii="宋体" w:hAnsi="宋体" w:eastAsia="宋体" w:cs="宋体"/>
                <w:sz w:val="21"/>
                <w:szCs w:val="21"/>
                <w:lang w:val="en-US" w:eastAsia="zh-CN"/>
              </w:rPr>
            </w:pPr>
            <w:r>
              <w:rPr>
                <w:rFonts w:hint="eastAsia" w:ascii="宋体" w:hAnsi="宋体" w:eastAsia="宋体" w:cs="宋体"/>
                <w:sz w:val="21"/>
                <w:szCs w:val="21"/>
              </w:rPr>
              <w:t>1.2.1</w:t>
            </w:r>
            <w:r>
              <w:rPr>
                <w:rFonts w:hint="eastAsia" w:ascii="宋体" w:hAnsi="宋体" w:cs="宋体"/>
                <w:sz w:val="21"/>
                <w:szCs w:val="21"/>
                <w:lang w:val="en-US" w:eastAsia="zh-CN"/>
              </w:rPr>
              <w:t xml:space="preserve"> 服务要求</w:t>
            </w:r>
          </w:p>
        </w:tc>
        <w:tc>
          <w:tcPr>
            <w:tcW w:w="2378" w:type="dxa"/>
            <w:vAlign w:val="center"/>
          </w:tcPr>
          <w:p>
            <w:pPr>
              <w:rPr>
                <w:rFonts w:hint="eastAsia" w:ascii="宋体" w:hAnsi="宋体" w:eastAsia="宋体" w:cs="宋体"/>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食材需符合国家食品安全标准（如GB 2760《食品安全国家标准 食品添加剂使用标准》、GB 2733《食品安全国家标准 鲜、冻动物性水产品》等），提供每批次食材检验合格证明；禁止供应过期、变质、农残/药残超标的食材。具备稳定的食材采购渠道（需提供核心食材供应商资质证明），能应对季节性食材短缺问题，保障全年供应无断档；仓储、运输环节需符合食材保鲜要求（如肉类、水产品需全程冷链）。响应“兴业绿色食堂”建设要求，优先供应绿色、无公害或有机食材（可提供相关认证证明），减少食材过度包装，配合食堂开展食材节约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pPr>
              <w:ind w:left="0" w:leftChars="0" w:firstLine="0" w:firstLineChars="0"/>
              <w:jc w:val="both"/>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二、供应商资质要求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2.1</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投标人须为中华人民共和国境内注册的独立企业法人，持有有效的营业执照（经营范围需包含预包装食品销售、散装食品销售或农产品/食材供应等相关类目）。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2.2</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投标人须持有《食品经营许可证》（含预包装食品、散装食品销售或热食类食品制售等对应许可范围），且证书在有效期内。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2.3</w:t>
            </w:r>
          </w:p>
        </w:tc>
        <w:tc>
          <w:tcPr>
            <w:tcW w:w="2378" w:type="dxa"/>
            <w:vAlign w:val="center"/>
          </w:tcPr>
          <w:p>
            <w:pPr>
              <w:rPr>
                <w:rFonts w:hint="eastAsia" w:ascii="宋体" w:hAnsi="宋体" w:eastAsia="宋体" w:cs="宋体"/>
                <w:b w:val="0"/>
                <w:bCs w:val="0"/>
                <w:sz w:val="21"/>
                <w:szCs w:val="21"/>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投标人须提供近一年（2025年）经会计师事务所审计的财务报告书；若企业成立不足一年，须提供银行出具的资信证明（证明资金实力可支撑本项目供应需求）。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投标人须提供“具有履行合同所必需的设备和专业技术能力”的证明材料：可提供仓储场地证明（如租赁合同、产权证明）、冷链运输车辆清单、食材检测设备清单，或书面承诺书。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投标人须提供2024年至今一项类似员工食堂/大型企事业单位食材供应业绩（需提供合同影印件，包含供应品类、服务期限、供应规模等关键条款）。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投标人须提供投标截止日期前12个月内任意一个月依法缴纳税收的证明材料（免税企业需提供免税证明），及缴纳社会保障金的证明材料。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投标人须提供“参加采购活动前三年内在经营活动中无重大违法记录（含食品安全违法记录）”的书面说明。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2.8</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投标人未被“信用中国”网列入“重大税收违法案件当事人名单”、未被“中国执行信息公开网”列入“失信被执行人名单”、未被“中国政府采购网”列入“政府采购严重违法失信行为信息记录名单”、未被“国家企业信用信息公示系统”列入“严重违法失信企业名单”；近3年在兴业银行无不良行为记录，不在兴业银行供应商禁用/退出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7" w:hRule="atLeast"/>
          <w:jc w:val="center"/>
        </w:trPr>
        <w:tc>
          <w:tcPr>
            <w:tcW w:w="2366" w:type="dxa"/>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2.9</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本次征集不接受联合体投标。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63" w:type="dxa"/>
            <w:gridSpan w:val="3"/>
            <w:vAlign w:val="center"/>
          </w:tcPr>
          <w:p>
            <w:pPr>
              <w:ind w:left="0" w:leftChars="0" w:firstLine="0" w:firstLineChars="0"/>
              <w:rPr>
                <w:rFonts w:hint="default"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三、报名要求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3.1</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企业处于存续、在营、开业等正常经营状态，无食品经营相关行政处罚记录。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3.2</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已在兴业银行开立对公账户，若中标本项目，须通过该账户结算项目相关费用。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3.3</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充分理解我行“兴业绿色食堂”建设要求及食材供应标准，能适配新大楼食堂的供应规模与时效需求。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3.4</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具备良好的商业信誉，近2年内无食材质量投诉、供应断档等不良合作记录。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3.5</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符合本公告“二、供应商资质要求”第8条的失信记录要求。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3.6</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经营范围经国家行政管理部门批准，且已取得食材供应相关有效执业资质或行政许可（如《食品经营许可证》）。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2" w:hRule="atLeast"/>
          <w:jc w:val="center"/>
        </w:trPr>
        <w:tc>
          <w:tcPr>
            <w:tcW w:w="2366" w:type="dxa"/>
            <w:vAlign w:val="center"/>
          </w:tcPr>
          <w:p>
            <w:pPr>
              <w:ind w:left="0" w:leftChars="0" w:firstLine="0" w:firstLineChars="0"/>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3.7</w:t>
            </w:r>
          </w:p>
        </w:tc>
        <w:tc>
          <w:tcPr>
            <w:tcW w:w="2378" w:type="dxa"/>
            <w:vAlign w:val="center"/>
          </w:tcPr>
          <w:p>
            <w:pPr>
              <w:rPr>
                <w:rFonts w:hint="eastAsia" w:ascii="宋体" w:hAnsi="宋体" w:eastAsia="宋体" w:cs="宋体"/>
                <w:b w:val="0"/>
                <w:bCs w:val="0"/>
                <w:sz w:val="21"/>
                <w:szCs w:val="21"/>
                <w:lang w:val="en-US" w:eastAsia="zh-CN"/>
              </w:rPr>
            </w:pPr>
          </w:p>
        </w:tc>
        <w:tc>
          <w:tcPr>
            <w:tcW w:w="4819" w:type="dxa"/>
            <w:vAlign w:val="center"/>
          </w:tcPr>
          <w:p>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近2年内（2024年至今）未发生食品安全事故、重大供应违约事件等严重安全/服务问题。</w:t>
            </w:r>
            <w:bookmarkStart w:id="1" w:name="_GoBack"/>
            <w:bookmarkEnd w:id="1"/>
          </w:p>
        </w:tc>
      </w:tr>
    </w:tbl>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pPr>
        <w:outlineLvl w:val="0"/>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10"/>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pPr>
              <w:spacing w:line="440" w:lineRule="exact"/>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pPr>
        <w:outlineLvl w:val="1"/>
        <w:rPr>
          <w:rFonts w:hint="eastAsia" w:ascii="仿宋" w:hAnsi="仿宋" w:eastAsia="仿宋" w:cs="仿宋"/>
          <w:bCs/>
          <w:color w:val="0000FF"/>
          <w:sz w:val="28"/>
          <w:szCs w:val="28"/>
          <w:lang w:val="en-US" w:eastAsia="zh-CN"/>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pPr>
        <w:outlineLvl w:val="0"/>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《兴业银行兰州分行2026-2027年度员工食堂食材供应采购项目</w:t>
      </w:r>
      <w:r>
        <w:rPr>
          <w:rFonts w:hint="eastAsia" w:ascii="仿宋" w:hAnsi="仿宋" w:eastAsia="仿宋" w:cs="仿宋"/>
          <w:b/>
          <w:bCs/>
          <w:sz w:val="28"/>
          <w:szCs w:val="28"/>
        </w:rPr>
        <w:t>》相关案例情况：</w:t>
      </w:r>
    </w:p>
    <w:tbl>
      <w:tblPr>
        <w:tblStyle w:val="10"/>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pPr>
              <w:rPr>
                <w:rFonts w:hint="eastAsia" w:ascii="仿宋" w:hAnsi="仿宋" w:eastAsia="仿宋" w:cs="仿宋"/>
                <w:sz w:val="28"/>
                <w:szCs w:val="28"/>
              </w:rPr>
            </w:pPr>
          </w:p>
        </w:tc>
        <w:tc>
          <w:tcPr>
            <w:tcW w:w="2313" w:type="dxa"/>
          </w:tcPr>
          <w:p>
            <w:pPr>
              <w:rPr>
                <w:rFonts w:hint="eastAsia" w:ascii="仿宋" w:hAnsi="仿宋" w:eastAsia="仿宋" w:cs="仿宋"/>
                <w:sz w:val="28"/>
                <w:szCs w:val="28"/>
              </w:rPr>
            </w:pPr>
          </w:p>
        </w:tc>
        <w:tc>
          <w:tcPr>
            <w:tcW w:w="2521" w:type="dxa"/>
          </w:tcPr>
          <w:p>
            <w:pPr>
              <w:rPr>
                <w:rFonts w:hint="eastAsia" w:ascii="仿宋" w:hAnsi="仿宋" w:eastAsia="仿宋" w:cs="仿宋"/>
                <w:sz w:val="28"/>
                <w:szCs w:val="28"/>
              </w:rPr>
            </w:pPr>
          </w:p>
        </w:tc>
        <w:tc>
          <w:tcPr>
            <w:tcW w:w="1953" w:type="dxa"/>
          </w:tcPr>
          <w:p>
            <w:pPr>
              <w:rPr>
                <w:rFonts w:hint="eastAsia" w:ascii="仿宋" w:hAnsi="仿宋" w:eastAsia="仿宋" w:cs="仿宋"/>
                <w:sz w:val="28"/>
                <w:szCs w:val="28"/>
              </w:rPr>
            </w:pPr>
          </w:p>
        </w:tc>
      </w:tr>
    </w:tbl>
    <w:p>
      <w:pPr>
        <w:rPr>
          <w:rFonts w:hint="eastAsia" w:ascii="仿宋" w:hAnsi="仿宋" w:eastAsia="仿宋" w:cs="仿宋"/>
          <w:b/>
          <w:bCs/>
          <w:sz w:val="28"/>
          <w:szCs w:val="28"/>
        </w:rPr>
      </w:pPr>
    </w:p>
    <w:p>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pPr>
        <w:pStyle w:val="3"/>
        <w:rPr>
          <w:rFonts w:hint="eastAsia"/>
        </w:rPr>
      </w:pPr>
    </w:p>
    <w:p>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pPr>
        <w:outlineLvl w:val="1"/>
        <w:rPr>
          <w:rFonts w:hint="eastAsia" w:ascii="仿宋" w:hAnsi="仿宋" w:eastAsia="仿宋" w:cs="仿宋"/>
          <w:bCs/>
          <w:sz w:val="28"/>
          <w:szCs w:val="28"/>
        </w:rPr>
      </w:pPr>
    </w:p>
    <w:p>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9"/>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400" w:lineRule="exact"/>
              <w:rPr>
                <w:rFonts w:hint="eastAsia" w:ascii="仿宋" w:hAnsi="仿宋" w:eastAsia="仿宋" w:cs="仿宋"/>
                <w:i w:val="0"/>
                <w:iCs w:val="0"/>
                <w:color w:val="000000"/>
                <w:sz w:val="28"/>
                <w:szCs w:val="28"/>
                <w:u w:val="none"/>
              </w:rPr>
            </w:pPr>
          </w:p>
        </w:tc>
      </w:tr>
    </w:tbl>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2"/>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53879"/>
    <w:rsid w:val="1B480FDB"/>
    <w:rsid w:val="1BDB23B2"/>
    <w:rsid w:val="307E3058"/>
    <w:rsid w:val="452227A1"/>
    <w:rsid w:val="469F6D47"/>
    <w:rsid w:val="49A84265"/>
    <w:rsid w:val="56717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2">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Plain Text"/>
    <w:basedOn w:val="1"/>
    <w:qFormat/>
    <w:uiPriority w:val="99"/>
    <w:rPr>
      <w:rFonts w:ascii="宋体" w:hAnsi="Courier New" w:cs="Courier New"/>
      <w:szCs w:val="21"/>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2025-04-29T07:59:00Z</dcterms:created>
  <dc:creator>cib</dc:creator>
  <cp:lastModifiedBy>吕晓靖</cp:lastModifiedBy>
  <dcterms:modified xsi:type="dcterms:W3CDTF">2026-09-03T01:56:33Z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