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kinsoku w:val="0"/>
        <w:autoSpaceDE w:val="0"/>
        <w:autoSpaceDN w:val="0"/>
        <w:adjustRightInd w:val="0"/>
        <w:snapToGrid w:val="0"/>
        <w:spacing w:before="54" w:after="0" w:afterAutospacing="0" w:line="360" w:lineRule="auto"/>
        <w:ind w:right="68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43"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43"/>
          <w:kern w:val="0"/>
          <w:sz w:val="28"/>
          <w:szCs w:val="28"/>
          <w:highlight w:val="none"/>
          <w:lang w:eastAsia="zh-CN"/>
        </w:rPr>
        <w:t>中医药传承创新发展示范项目（2026）兰州市中医医院设备维保服务项目（二次）</w:t>
      </w:r>
    </w:p>
    <w:p>
      <w:pPr>
        <w:pStyle w:val="20"/>
        <w:kinsoku w:val="0"/>
        <w:autoSpaceDE w:val="0"/>
        <w:autoSpaceDN w:val="0"/>
        <w:adjustRightInd w:val="0"/>
        <w:snapToGrid w:val="0"/>
        <w:spacing w:before="54" w:after="0" w:afterAutospacing="0" w:line="360" w:lineRule="auto"/>
        <w:ind w:right="68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43"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43"/>
          <w:kern w:val="0"/>
          <w:sz w:val="28"/>
          <w:szCs w:val="28"/>
          <w:highlight w:val="none"/>
          <w:lang w:eastAsia="zh-CN"/>
        </w:rPr>
        <w:t>更正公告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2" w:firstLineChars="200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21"/>
          <w:szCs w:val="21"/>
          <w:highlight w:val="none"/>
        </w:rPr>
        <w:t>一、项目基本情况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1、项目编号：ZZJ2026-75（包二）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2、项目名称：中医药传承创新发展示范项目（2026）兰州市中医医院设备维保服务项目（二次）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3、采购方式：竞争性磋商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4、首次公告日期：2026年10月</w:t>
      </w: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日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5、采购人：兰州市中医医院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6、采购代理机构：中招建项目管理咨询有限公司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2" w:firstLineChars="200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21"/>
          <w:szCs w:val="21"/>
          <w:highlight w:val="none"/>
        </w:rPr>
        <w:t>二、更正信息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1、更正事项：本项目竞争性磋商文件商务、技术评分条款及第四章服务需求相关条款。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、更正内容：</w:t>
      </w: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原磋商文件中：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420" w:firstLineChars="200"/>
        <w:textAlignment w:val="auto"/>
        <w:outlineLvl w:val="3"/>
        <w:rPr>
          <w:rFonts w:hint="eastAsia" w:asciiTheme="minorEastAsia" w:hAnsiTheme="minorEastAsia" w:eastAsiaTheme="minorEastAsia" w:cstheme="minorEastAsia"/>
          <w:b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sz w:val="21"/>
          <w:szCs w:val="21"/>
          <w:highlight w:val="none"/>
        </w:rPr>
        <w:t>（1）</w:t>
      </w:r>
      <w:r>
        <w:rPr>
          <w:rFonts w:hint="eastAsia" w:asciiTheme="minorEastAsia" w:hAnsiTheme="minorEastAsia" w:eastAsiaTheme="minorEastAsia" w:cstheme="minorEastAsia"/>
          <w:b/>
          <w:color w:val="auto"/>
          <w:kern w:val="0"/>
          <w:sz w:val="21"/>
          <w:szCs w:val="21"/>
          <w:highlight w:val="none"/>
        </w:rPr>
        <w:t>评审标准：</w:t>
      </w:r>
    </w:p>
    <w:tbl>
      <w:tblPr>
        <w:tblStyle w:val="165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164"/>
        <w:gridCol w:w="1092"/>
        <w:gridCol w:w="5405"/>
        <w:gridCol w:w="99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评审因素及分值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评审项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评审标准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评审项分值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投标报价（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0）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满足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竞争性磋商文件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实质性要求，且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报价最低的为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基准价，其报价得分为满分。其他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的报价得分分别按照下列公式计算：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报价得分=（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基准价/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报价）×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0（保留小数点后两位，第三位四舍五入）。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说明：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磋商小组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认为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的报价明显低于其他通过符合性审查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的报价，有可能影响产品质量或者不能诚信履约的，应当要求其在评标现场合理的时间内提供书面说明，必要时提交相关证明材料；投标人不能证明其报价合理性的，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磋商小组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应当将其作为无效投标处理。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80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116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商务部分（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业绩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供应商提供近三年维保类项目业绩证明（202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月至今），每提供1份得2分，满分10分，不提供不得分。（以中标通知书和合同复印件加盖公章为准）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10.0分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承诺函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供应商承诺中标后在项目所在地有备件库，出具承诺函得5分，不提供不得分。（满分5分）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5.0分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质量保证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48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具有有效的质量管理体系认证证书、商品售后服务管理体系认证证书、环境管理体系认证证书、职业健康安全管理体系认证证书、医疗器械管理体系认证证书,并提供相关证书及网站查询截图，证书资质范围包含医疗器械的销售或维修。每一个证书得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分，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满分5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分。（提供证明材料不全不得分）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授权书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48" w:firstLineChars="200"/>
              <w:jc w:val="both"/>
              <w:textAlignment w:val="auto"/>
              <w:rPr>
                <w:rFonts w:hint="eastAsia" w:ascii="宋体" w:hAnsi="宋体" w:eastAsia="宋体" w:cs="宋体"/>
                <w:spacing w:val="7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highlight w:val="none"/>
                <w:lang w:val="en-US" w:eastAsia="zh-CN"/>
              </w:rPr>
              <w:t>供应商需提供所更换球管的厂家授权书，提供证明材料得5分，不提供不得分.。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0" w:hRule="atLeast"/>
          <w:jc w:val="center"/>
        </w:trPr>
        <w:tc>
          <w:tcPr>
            <w:tcW w:w="80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3</w:t>
            </w:r>
          </w:p>
        </w:tc>
        <w:tc>
          <w:tcPr>
            <w:tcW w:w="116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技术部分（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67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维保总体方案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投标人针对本项目维保方案，重点、难点分析及解决措施进行综合评分。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①总体方案科学、先进、全面、切实可行得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②总体方案内容完善具体，合理、满足实际需求得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③总体方案措施内容基本全面、符合基本的维保需求得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④总体方案关键有缺项，内容不全面，和项目实际维保需求不符合得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⑤不提供不得分。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人员配置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针对本项目配备人员：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①配备人员框架齐全、科学合理，经验丰富能力强得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②配备人员框架齐全，安排合理，满足项目需求得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③配备人员安排合理，满足项目需求得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④配备人员岗位不健全，一岗多用得1分；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⑤不提供不得分。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安全文明施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工方案及措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施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投标人提供安全文明施工方案及措施：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①制度完善、内容详细、合理、有一定针对性得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②制度完善、内容简单、基本合理、有一定的针对性得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③制度基本完善、内容能够满足项目需求、具有可实施性得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④制度不完善、不合理、针对性差得2分；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⑤不提供不得分。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故障响应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①在满足服务需求的基础上，承诺故障工程师提前1小时到场得3分；满分6分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②其余情况不得分。注：须提供承诺函并加盖公章。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应急措施方案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投标人根据自身工作经验针对本项目提供突发事件的应急举措（应急响应、应急准备、事后处理等）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①安排全面科学、先进具体、操作性强和项目实际情况密切相关得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②安排合理、具体、可行，符合项目实际情况得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③安排可行，符合项目实际情况得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④安排不符合实际项目情况得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⑤不提供不得分。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.0分</w:t>
            </w:r>
          </w:p>
        </w:tc>
      </w:tr>
    </w:tbl>
    <w:p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Chars="0" w:right="0" w:rightChars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Chars="0" w:right="0" w:rightChars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现更正为：</w:t>
      </w:r>
    </w:p>
    <w:tbl>
      <w:tblPr>
        <w:tblStyle w:val="165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164"/>
        <w:gridCol w:w="1092"/>
        <w:gridCol w:w="5405"/>
        <w:gridCol w:w="99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评审因素及分值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评审项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评审标准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评审项分值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投标报价（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0）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满足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竞争性磋商文件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实质性要求，且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报价最低的为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基准价，其报价得分为满分。其他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的报价得分分别按照下列公式计算：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报价得分=（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基准价/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报价）×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0（保留小数点后两位，第三位四舍五入）。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说明：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磋商小组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认为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的报价明显低于其他通过符合性审查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的报价，有可能影响产品质量或者不能诚信履约的，应当要求其在评标现场合理的时间内提供书面说明，必要时提交相关证明材料；投标人不能证明其报价合理性的，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磋商小组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应当将其作为无效投标处理。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6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商务部分（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供应商提供近三年维保类项目业绩证明（202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月至今），每提供1份得2分，满分10分，不提供不得分。（以中标通知书和合同复印件加盖公章为准）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10.0分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  <w:jc w:val="center"/>
        </w:trPr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质量保证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48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具有有效的质量管理体系认证证书、商品售后服务管理体系认证证书、环境管理体系认证证书、职业健康安全管理体系认证证书、医疗器械管理体系认证证书,并提供相关证书及网站查询截图，证书资质范围包含医疗器械的销售或维修。每一个证书得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分，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满分4</w:t>
            </w: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分。（提供证明材料不全不得分）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0" w:hRule="atLeast"/>
          <w:jc w:val="center"/>
        </w:trPr>
        <w:tc>
          <w:tcPr>
            <w:tcW w:w="80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6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技术部分（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default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整体维保技术方案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针对本项目设备性能、运行特点，制定专项整体维保方案，包含整机软硬件维护、系统检测、故障排查、日常维保、整机调试等完整内容，方案科学合理、体系完善、针对性极强、可落地性高，完全贴合本设备维保需水，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分；方案整体完整，核心维呆内容齐全，整体可行性较好，仅少量细节略有欠缺，得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分；方案主体内容齐全，主要维保环节夏盖到位， 部分细节不够细化，针对性自好，得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分；方案 框架基本完整，但关键维保环节存在缺失、内容较为笼统，针对性一般，得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分；仅简单罗列 维保内容，无专项细化方案，内容空洞流于形式，得1分；未提供整体维保技术方案，得0分。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人员配置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针对本项目配备人员：配备人员框架齐全、科学合理，经验丰富能力强得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分；配备人员框架齐全，安排合理，满足项目需求得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分；配备人员安排合理，满足项目需求得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分；配备人员岗位不健全，一岗多用得1分；不提供不得分。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default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故障应急维修方案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6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firstLine="420" w:firstLineChars="200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针对CT设备常见硬件故障、软件报错、图像伪影、设备停机、扫描异常等各类故障场景，制定全面完善、针对性极强的应急排查、快速抢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8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修、故障修复、精度复检、后期校验全套处置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1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方案，响应流程清晰规范、处置措施科学详实、应急机制健全完善、可落地性极强，得14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分；应急维修方案完整合理，各类核心故障处置流程齐全，应急保障机制到位，仅部分细节优化空间，得10分；应急方案整体合规，主要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故障处置措施齐全，局部流程不够细化，保障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能力良好，得7分；具备基础应急维修思路，但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故障处置流程不完善，部分故障场景无对应处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置措施，方案实用性一般，得4分；仅简单提及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应急维修相关内容，无具体处置流程、处置标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准及时效保障，内容流于形式，得1分；未提供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任何故障应急维修方案，得0分。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6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firstLine="428" w:firstLineChars="200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pacing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突发事件应急预案及安全保障措施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6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针对维保及设备使用过程中交叉感染、人员身</w:t>
            </w: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体不适、人流密集疏散、设备突发故障、各类</w:t>
            </w:r>
            <w:r>
              <w:rPr>
                <w:rFonts w:hint="eastAsia" w:ascii="宋体" w:hAnsi="宋体" w:eastAsia="宋体" w:cs="宋体"/>
                <w:color w:val="000000" w:themeColor="text1"/>
                <w:spacing w:val="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不可预见安全事件等全部风险场景，制定体系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完整、科学规范、落地性极强的安全保障措施</w:t>
            </w: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及突发事件专项处置预案，场景全覆盖、流程细化、措施详实、可直接执行，得14分；安全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保障措施完善、应急预案编制合理，各类主要风险处置流程齐全，整体可行性较好，仅细节略有欠缺，得10分；安全保障措施及预案内容基本完整，可覆盖主要风险场景，部分处置细</w:t>
            </w: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节不够细化，整体合规可用.得7分；安全借施及应急预案内容不完善，部分关键反险场景缺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失对应处置方案，方案合理性、实，生一般，得4分；仅简单提及安全、应念相关概念，无具体处置流程、保障措施，内容空洞流干形式，</w:t>
            </w: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得1分；未提供任何安全保障措施及突发事件应</w:t>
            </w:r>
            <w:r>
              <w:rPr>
                <w:rFonts w:hint="eastAsia" w:ascii="宋体" w:hAnsi="宋体" w:eastAsia="宋体" w:cs="宋体"/>
                <w:color w:val="000000" w:themeColor="text1"/>
                <w:spacing w:val="1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pacing w:val="6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急预案，得0分。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.0分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  <w:jc w:val="center"/>
        </w:trPr>
        <w:tc>
          <w:tcPr>
            <w:tcW w:w="8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技术培训及 增值服务</w:t>
            </w:r>
          </w:p>
        </w:tc>
        <w:tc>
          <w:tcPr>
            <w:tcW w:w="5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6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16" w:firstLineChars="200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可提供完善的院内设备操作、日常养护、简易故障自查、安全操作规范、设备质控管理等全套专项培训服务，培训方案体系完整、内容详实、计划清晰、形式多样、完全贴合医院日常使用及维保需求，落地性极强，得14分；可提供设备操作、日常养护、故障自查等主要培训服务，培训方案较为完整，核心内容齐全，整体可行性好，仅少量细节略有欠缺，得10分；具备完整的基础培训方案，可覆盖常规设备使用、养护培训内容，整体满足基本使用需求，得7分；具备基础培训内容，但方案不够系统、内容较为单薄，培训覆盖不全，完整性一般，得4分；仅简单提及提供培训服务，无具体培训计划、培训内容及实施方式，内容空洞、流于 形式，得1分；未提供任何设备培训及增值服务 相关方案、承诺，得0分。</w:t>
            </w:r>
            <w:r>
              <w:rPr>
                <w:rFonts w:hint="eastAsia" w:ascii="宋体" w:hAnsi="宋体" w:eastAsia="宋体" w:cs="宋体"/>
                <w:color w:val="000000" w:themeColor="text1"/>
                <w:spacing w:val="-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snapToGrid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.0分</w:t>
            </w:r>
          </w:p>
        </w:tc>
      </w:tr>
    </w:tbl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）原磋商文件第四章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需求第二部分 服务要求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</w:t>
      </w:r>
      <w:bookmarkStart w:id="0" w:name="OLE_LINK1"/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所有更换的配件须为全新未拆封配件；原装原设备同型号产品。若实施球管更换，所供球管须为全新原装原设备同型号球管一支，球管出厂日期为一年内，出具承诺函。如不更换球管，供方对本项目设备质保期延期一年，所保项目同前</w:t>
      </w:r>
      <w:bookmarkEnd w:id="0"/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现更正为：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所有更换的配件须为全新未拆封配件。若实施球管更换，所供球管须为该设备医疗器械注册许可涵盖范围内产品一支，球管出厂日期为一年内，出具承诺函。</w:t>
      </w:r>
    </w:p>
    <w:p>
      <w:pPr>
        <w:pStyle w:val="20"/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原响应文件的开启时间：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开启：202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上午08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分整（北京时间）</w:t>
      </w:r>
    </w:p>
    <w:p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Chars="0" w:right="0" w:rightChars="0"/>
        <w:jc w:val="left"/>
        <w:textAlignment w:val="baseline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现更正为：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开启：202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04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上午08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分整（北京时间）</w:t>
      </w:r>
    </w:p>
    <w:p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Chars="0" w:right="0" w:rightChars="0"/>
        <w:jc w:val="left"/>
        <w:textAlignment w:val="baseline"/>
        <w:rPr>
          <w:rFonts w:hint="default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其他不变。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4、更正日期：2026年10月2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2" w:firstLineChars="200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三、凡对本次公告内容提出询问，请按以下方式联系。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采购人：兰州市中医医院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地址：甘肃省兰州市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采购代理机构：中招建项目管理咨询有限公司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地址：甘肃省兰州市城关区高新飞雁街116号陇星大厦A座1309室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联系人：张佳佳</w:t>
      </w:r>
    </w:p>
    <w:p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napToGrid w:val="0"/>
          <w:color w:val="000000" w:themeColor="text1"/>
          <w:spacing w:val="0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联系电话：18693149008</w:t>
      </w:r>
      <w:bookmarkStart w:id="1" w:name="_GoBack"/>
      <w:bookmarkEnd w:id="1"/>
    </w:p>
    <w:p>
      <w:pPr>
        <w:keepNext w:val="0"/>
        <w:keepLines w:val="0"/>
        <w:pageBreakBefore w:val="0"/>
        <w:wordWrap/>
        <w:overflowPunct/>
        <w:topLinePunct w:val="0"/>
        <w:bidi w:val="0"/>
        <w:spacing w:after="0" w:line="360" w:lineRule="auto"/>
        <w:ind w:leftChars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after="0" w:line="360" w:lineRule="auto"/>
        <w:ind w:leftChars="0"/>
        <w:jc w:val="right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2026年10月2</w:t>
      </w: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304" w:bottom="1440" w:left="124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8EE4D8"/>
    <w:multiLevelType w:val="singleLevel"/>
    <w:tmpl w:val="B88EE4D8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D3503D"/>
    <w:rsid w:val="1E0551FB"/>
    <w:rsid w:val="41266DD6"/>
    <w:rsid w:val="427A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4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5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uiPriority w:val="99"/>
  </w:style>
  <w:style w:type="character" w:customStyle="1" w:styleId="137">
    <w:name w:val="Footer Char"/>
    <w:basedOn w:val="133"/>
    <w:link w:val="25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6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uiPriority w:val="99"/>
    <w:rPr>
      <w:sz w:val="16"/>
      <w:szCs w:val="16"/>
    </w:rPr>
  </w:style>
  <w:style w:type="character" w:customStyle="1" w:styleId="148">
    <w:name w:val="Macro Text Char"/>
    <w:basedOn w:val="133"/>
    <w:link w:val="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7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4"/>
    <w:next w:val="1"/>
    <w:semiHidden/>
    <w:unhideWhenUsed/>
    <w:qFormat/>
    <w:uiPriority w:val="39"/>
    <w:pPr>
      <w:outlineLvl w:val="9"/>
    </w:pPr>
  </w:style>
  <w:style w:type="table" w:customStyle="1" w:styleId="16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1354</Words>
  <Characters>1432</Characters>
  <Lines>0</Lines>
  <Paragraphs>0</Paragraphs>
  <TotalTime>3</TotalTime>
  <ScaleCrop>false</ScaleCrop>
  <LinksUpToDate>false</LinksUpToDate>
  <CharactersWithSpaces>1432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翟一朵</cp:lastModifiedBy>
  <dcterms:modified xsi:type="dcterms:W3CDTF">2026-10-29T03:55:41Z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{"Label":"1","ContentProducer":"001191440300708461136T1WFUO","ProduceID":"fbbffa832407c0970adfc09203ef78c3-mb0A","ReservedCode1":"{\"Type\":\" TC260PG\",\"Version\":1,\"Bindings\":[{\"Type\":\"soft\",\"AlgID\":\"sm3\",\"Value\":\"996553e094caba58b15248ea881778305d1c541368f7cc3492081e9163436308\"},{\"Type\":\"hash\",\"AlgID\":\"sm3\",\"Value\":\"7cd173e5959481075fed00dd8e03df2f597c5e046e29fbda930d410385fa7460\"}],\"PubSD\":[{\"Type\":\"DS\",\"AlgID\":\"sm2\",\"TBSData\":{\"Type\":\"Binding\",\"BType\":\"hash\"},\"Signature\":\"304402205e1aa1321d77e0f7868008b1161f643ce8b2226221040acabaf489572079f0000220401d494be89e83bd5bf8234f22387f9c36344b5bd41b91fae8928be3247d20ad\"},{\"Type\":\"PubKey\",\"AlgID\":\"sm2\",\"KeyValue\":\"0407f79b28a17a752b3aae4305c98b48978213832729a2571850b1310b2bc9fe8fee039ccf25ebfeac27502414d9fcef792d777183c98893d226171c2f7a3289a2\"}],\"Extension\":{\"Timestamp\":1793162591,\"KeyVersion\":\"v1-TxLeOmf7bqU223\"}}","ContentPropagator":"001191440300708461136T1WFUO","PropagateID":"fbbffa832407c0970adfc09203ef78c3-mb0A","ReservedCode2":"{\"Type\":\" TC260PG\",\"Version\":1,\"Bindings\":[{\"Type\":\"soft\",\"AlgID\":\"sm3\",\"Value\":\"996553e094caba58b15248ea881778305d1c541368f7cc3492081e9163436308\"},{\"Type\":\"hash\",\"AlgID\":\"sm3\",\"Value\":\"7cd173e5959481075fed00dd8e03df2f597c5e046e29fbda930d410385fa7460\"}],\"PubSD\":[{\"Type\":\"DS\",\"AlgID\":\"sm2\",\"TBSData\":{\"Type\":\"Binding\",\"BType\":\"hash\"},\"Signature\":\"3046022100c2cfb322aa0515df05e884b48bcf8d929d08ca43fca538d9891ea3c3cfa2c995022100b029ff1b57db44c6d35a71d36b625eeb5c2f4415736411781e0dd790efb4ebc5\"},{\"Type\":\"PubKey\",\"AlgID\":\"sm2\",\"KeyValue\":\"0407f79b28a17a752b3aae4305c98b48978213832729a2571850b1310b2bc9fe8fee039ccf25ebfeac27502414d9fcef792d777183c98893d226171c2f7a3289a2\"}],\"Extension\":{\"Timestamp\":1793162591,\"KeyVersion\":\"v1-TxLeOmf7bqU223\"}}"}</vt:lpwstr>
  </property>
  <property fmtid="{D5CDD505-2E9C-101B-9397-08002B2CF9AE}" pid="3" name="KSOTemplateDocerSaveRecord">
    <vt:lpwstr>eyJoZGlkIjoiM2M4ZjUwOTFhYzMzYWE4NTQxMGM4Yzg0ZjRjYThmY2UiLCJ1c2VySWQiOiIzODkyMTQ2NjQifQ==</vt:lpwstr>
  </property>
  <property fmtid="{D5CDD505-2E9C-101B-9397-08002B2CF9AE}" pid="4" name="KSOProductBuildVer">
    <vt:lpwstr>2052-11.8.2.8875</vt:lpwstr>
  </property>
  <property fmtid="{D5CDD505-2E9C-101B-9397-08002B2CF9AE}" pid="5" name="ICV">
    <vt:lpwstr>42DEC463683E485386A26617238AF692_13</vt:lpwstr>
  </property>
</Properties>
</file>